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7</w:t>
      </w:r>
    </w:p>
    <w:p>
      <w:pPr>
        <w:spacing w:after="300"/>
      </w:pPr>
      <w:r>
        <w:rPr>
          <w:rFonts w:ascii="Calibri" w:cs="Calibri" w:eastAsia="Calibri" w:hAnsi="Calibri"/>
          <w:b/>
          <w:bCs/>
          <w:color w:val="14213D"/>
          <w:sz w:val="32"/>
          <w:szCs w:val="32"/>
        </w:rPr>
        <w:t xml:space="preserve">Docentenhandleiding — CMMN basis</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De derde en laatste taal van niveau 1, en de minst intuïtieve voor deelnemers die net vier delen BPMN en één deel DMN achter de rug hebben. Het grootste risico is dat deelnemers CMMN proberen te "temmen" tot een verkapt BPMN-model — expliciet elke mogelijke volgorde vastleggen met sentries in plaats van de autonomie van de behandelaar echt open te laten. Herken dit gedrag vroeg (het gebeurt vrijwel gegarandeerd in opdracht 3) en corrigeer het expliciet: een casemodel dat maar één pad toestaat, heeft zijn doel gemist.</w:t>
      </w:r>
    </w:p>
    <w:p>
      <w:pPr>
        <w:spacing w:after="160" w:line="300"/>
        <w:jc w:val="left"/>
      </w:pPr>
      <w:r>
        <w:rPr>
          <w:rFonts w:ascii="Calibri" w:cs="Calibri" w:eastAsia="Calibri" w:hAnsi="Calibri"/>
          <w:b w:val="false"/>
          <w:bCs w:val="false"/>
          <w:i w:val="false"/>
          <w:iCs w:val="false"/>
          <w:color w:val="1A1A1A"/>
          <w:sz w:val="21"/>
          <w:szCs w:val="21"/>
        </w:rPr>
        <w:t xml:space="preserve">Vermeld aan het begin kort, zonder overdreven waarschuwing, dat de toolingondersteuning voor CMMN beperkter is dan voor BPMN en DMN (zie deel 1, §1.3, en de disclaimer bovenaan de reader). Dit is geen reden om het onderwerp lichter te behandelen — eerder een reden om de denkwijze extra goed te laten landen, want die blijft waardevol ongeacht welk platform er uiteindelijk gebruikt wordt.</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4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6, programma</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0:10 – 0:30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Waarom een dossier geen proces is (§7.1)</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klachtvoorbeeld</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0:30 – 0:50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plenair nabespreken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0:50 – 1:10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file (§7.2), stages/tasks/milestones (§7.3)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1:10 – 1:25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1:25 – 1:50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 (§7.4)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7.3</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1:50 – 2:20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Discretionary items en planning table (§7.5)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Presentatie, dossier-voorbeeld A/B</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2:20 – 2:40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 klassikaal nabespreken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2:40 – 2:55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2:55 – 3:10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Decorators (§7.6)</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3:10 – 3:45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in Conductus</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3:45 – 4:00</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4 (kort), opdracht 5 en 6, vooruitblik</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Tweetallen/plenair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Bij tijdsdruk: opdracht 5 (decorators) kan als korte klassikale doorloop in plaats van individueel — het is beperkt in omvang. Laat opdracht 3 nooit inkorten; dat is waar de discretionary-denkwijze voor het eerst zelf toegepast wordt, en dat kost tijd om goed te laten landen.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Case of proces?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Antwoord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Toelichting</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Sterk wisselende volgorde, kenniswerker bepaalt — schoolvoorbeeld van dossierwerk.</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BPMN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Vaste, voorspelbare stap.</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Combinatie, CMMN leidend</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Een vaste set gesprekken suggereert BPMN, maar de wisselende volgorde en het wisselende aantal wijst op een case met process tasks voor de individuele gesprekken/berekeningen.</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BPMN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Batch, vaste volgorde.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CMMN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Behandelaar bepaalt per geval welke onderzoeken nodig zijn — klassiek dossierwerk.</w:t>
            </w:r>
          </w:p>
        </w:tc>
      </w:tr>
    </w:tbl>
    <w:p>
      <w:pPr>
        <w:spacing w:before="200"/>
      </w:pPr>
    </w:p>
    <w:p>
      <w:pPr>
        <w:spacing w:after="160" w:line="300"/>
        <w:jc w:val="left"/>
      </w:pPr>
      <w:r>
        <w:rPr>
          <w:rFonts w:ascii="Calibri" w:cs="Calibri" w:eastAsia="Calibri" w:hAnsi="Calibri"/>
          <w:b/>
          <w:bCs/>
          <w:i w:val="false"/>
          <w:iCs w:val="false"/>
          <w:color w:val="1A1A1A"/>
          <w:sz w:val="21"/>
          <w:szCs w:val="21"/>
        </w:rPr>
        <w:t xml:space="preserve">Bespreekpunt.</w:t>
      </w:r>
      <w:r>
        <w:rPr>
          <w:rFonts w:ascii="Calibri" w:cs="Calibri" w:eastAsia="Calibri" w:hAnsi="Calibri"/>
          <w:b w:val="false"/>
          <w:bCs w:val="false"/>
          <w:i w:val="false"/>
          <w:iCs w:val="false"/>
          <w:color w:val="1A1A1A"/>
          <w:sz w:val="21"/>
          <w:szCs w:val="21"/>
        </w:rPr>
        <w:t xml:space="preserve"> Fragment 3 is bewust tweeslachtig en bereidt voor op deel 8: een "vaste set gesprekken met wisselende volgorde en aantal" is precies het soort scenario waar de keuze tussen "BPMN met een ad-hoc subprocess" (deel 4, §4.5) en "CMMN met discretionary items" beide verdedigbaar zijn. Laat deelnemers hier zelf tot de conclusie komen dat het antwoord niet absoluut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Herken de elementen</w:t>
      </w:r>
    </w:p>
    <w:p>
      <w:pPr>
        <w:spacing w:after="160" w:line="300"/>
        <w:jc w:val="left"/>
      </w:pPr>
      <w:r>
        <w:rPr>
          <w:rFonts w:ascii="Calibri" w:cs="Calibri" w:eastAsia="Calibri" w:hAnsi="Calibri"/>
          <w:b w:val="false"/>
          <w:bCs w:val="false"/>
          <w:i w:val="false"/>
          <w:iCs w:val="false"/>
          <w:color w:val="1A1A1A"/>
          <w:sz w:val="21"/>
          <w:szCs w:val="21"/>
        </w:rPr>
        <w:t xml:space="preserve">Afhankelijk van het aangeleverde model; controleer dat deelnemers het functionele verschil kunnen benoemen tussen bijvoorbeeld een required human task en een discretionary human task — niet alleen het symbool herkennen maar uitleggen wat het voor de behandelaar betekent.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Modelleer een eerste casemodel</w:t>
      </w:r>
    </w:p>
    <w:p>
      <w:pPr>
        <w:spacing w:after="160" w:line="300"/>
        <w:jc w:val="left"/>
      </w:pPr>
      <w:r>
        <w:rPr>
          <w:rFonts w:ascii="Calibri" w:cs="Calibri" w:eastAsia="Calibri" w:hAnsi="Calibri"/>
          <w:b w:val="false"/>
          <w:bCs w:val="false"/>
          <w:i w:val="false"/>
          <w:iCs w:val="false"/>
          <w:color w:val="1A1A1A"/>
          <w:sz w:val="21"/>
          <w:szCs w:val="21"/>
        </w:rPr>
        <w:t xml:space="preserve">Geen uniek modelantwoord — dit scenario laat bewust ruimte voor interpretatie. Referentiemodel beschikbaar als CMMN-XML voor import, maar behandel afwijkende, correct gemotiveerde modellen als een geslaagd resultaat.</w:t>
      </w:r>
    </w:p>
    <w:p>
      <w:pPr>
        <w:spacing w:after="160" w:line="300"/>
        <w:jc w:val="left"/>
      </w:pPr>
      <w:r>
        <w:rPr>
          <w:rFonts w:ascii="Calibri" w:cs="Calibri" w:eastAsia="Calibri" w:hAnsi="Calibri"/>
          <w:b/>
          <w:bCs/>
          <w:i w:val="false"/>
          <w:iCs w:val="false"/>
          <w:color w:val="1A1A1A"/>
          <w:sz w:val="21"/>
          <w:szCs w:val="21"/>
        </w:rPr>
        <w:t xml:space="preserve">Vaste beoordelingspunten, ongeacht de precieze modelinvulling: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Zijn "Dossier opvragen" en "Klacht afhandelen" verplicht (required), en zijn de drie genoemde discretionaire acties daadwerkelijk als discretionary item gemodelleerd — niet als verplichte stap in een vaste volgorde?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de milestone "dossier compleet" correct gekoppeld aan het voltooien van "Dossier opvragen"?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Is er een case file item dat het juridisch precedent vastlegt, en verandert het gedrag van "Juridisch advies inwinnen" daadwerkelijk (van discretionair naar verplicht, of een vergelijkbare mechanisme) op basis van een sentry met een if-part die naar dat item verwijst?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Heeft de deelnemer expliciet benoemd welke taaktypen niet gebruikt zijn en waarom? (In dit scenario komen bijvoorbeeld process task, decision task en case task niet per se voor — vraag door of een deelnemer dat herkent of automatisch alles als human task modelleert.)</w:t>
      </w:r>
    </w:p>
    <w:p>
      <w:pPr>
        <w:spacing w:after="160" w:line="300"/>
        <w:jc w:val="left"/>
      </w:pPr>
      <w:r>
        <w:rPr>
          <w:rFonts w:ascii="Calibri" w:cs="Calibri" w:eastAsia="Calibri" w:hAnsi="Calibri"/>
          <w:b/>
          <w:bCs/>
          <w:i w:val="false"/>
          <w:iCs w:val="false"/>
          <w:color w:val="1A1A1A"/>
          <w:sz w:val="21"/>
          <w:szCs w:val="21"/>
        </w:rPr>
        <w:t xml:space="preserve">Meest voorkomende fout te verwachten.</w:t>
      </w:r>
      <w:r>
        <w:rPr>
          <w:rFonts w:ascii="Calibri" w:cs="Calibri" w:eastAsia="Calibri" w:hAnsi="Calibri"/>
          <w:b w:val="false"/>
          <w:bCs w:val="false"/>
          <w:i w:val="false"/>
          <w:iCs w:val="false"/>
          <w:color w:val="1A1A1A"/>
          <w:sz w:val="21"/>
          <w:szCs w:val="21"/>
        </w:rPr>
        <w:t xml:space="preserve"> Deelnemers proberen vaak een vaste volgorde tussen de drie discretionaire acties af te dwingen met sentries ("eerst contact opnemen, dan pas juridisch advies"), terwijl de scenariotekst dat niet vraagt. Dit is het moment om het antipatroon expliciet te benoemen: als je merkt dat je een volgorde aan het opleggen bent die de tekst niet vraagt, stel jezelf de vraag of dit niet stiekem BPMN-denken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Volg twee dossiers</w:t>
      </w:r>
    </w:p>
    <w:p>
      <w:pPr>
        <w:spacing w:after="160" w:line="300"/>
        <w:jc w:val="left"/>
      </w:pPr>
      <w:r>
        <w:rPr>
          <w:rFonts w:ascii="Calibri" w:cs="Calibri" w:eastAsia="Calibri" w:hAnsi="Calibri"/>
          <w:b w:val="false"/>
          <w:bCs w:val="false"/>
          <w:i w:val="false"/>
          <w:iCs w:val="false"/>
          <w:color w:val="1A1A1A"/>
          <w:sz w:val="21"/>
          <w:szCs w:val="21"/>
        </w:rPr>
        <w:t xml:space="preserve">Verwacht antwoord in grote lijnen:</w:t>
      </w:r>
    </w:p>
    <w:p>
      <w:pPr>
        <w:spacing w:after="160" w:line="300"/>
        <w:jc w:val="left"/>
      </w:pPr>
      <w:r>
        <w:rPr>
          <w:rFonts w:ascii="Calibri" w:cs="Calibri" w:eastAsia="Calibri" w:hAnsi="Calibri"/>
          <w:b/>
          <w:bCs/>
          <w:i w:val="false"/>
          <w:iCs w:val="false"/>
          <w:color w:val="1A1A1A"/>
          <w:sz w:val="21"/>
          <w:szCs w:val="21"/>
        </w:rPr>
        <w:t xml:space="preserve">Dossier A</w:t>
      </w:r>
      <w:r>
        <w:rPr>
          <w:rFonts w:ascii="Calibri" w:cs="Calibri" w:eastAsia="Calibri" w:hAnsi="Calibri"/>
          <w:b w:val="false"/>
          <w:bCs w:val="false"/>
          <w:i w:val="false"/>
          <w:iCs w:val="false"/>
          <w:color w:val="1A1A1A"/>
          <w:sz w:val="21"/>
          <w:szCs w:val="21"/>
        </w:rPr>
        <w:t xml:space="preserve"> — Dossier opvragen (verplicht) → milestone "dossier compleet" → geen juridisch precedent, dus "Juridisch advies inwinnen" blijft optioneel en wordt niet ingezet → behandelaar kiest mogelijk kort "Contact opnemen met deelnemer" → Klacht afhandelen (verplicht) → case gesloten.</w:t>
      </w:r>
    </w:p>
    <w:p>
      <w:pPr>
        <w:spacing w:after="160" w:line="300"/>
        <w:jc w:val="left"/>
      </w:pPr>
      <w:r>
        <w:rPr>
          <w:rFonts w:ascii="Calibri" w:cs="Calibri" w:eastAsia="Calibri" w:hAnsi="Calibri"/>
          <w:b/>
          <w:bCs/>
          <w:i w:val="false"/>
          <w:iCs w:val="false"/>
          <w:color w:val="1A1A1A"/>
          <w:sz w:val="21"/>
          <w:szCs w:val="21"/>
        </w:rPr>
        <w:t xml:space="preserve">Dossier B</w:t>
      </w:r>
      <w:r>
        <w:rPr>
          <w:rFonts w:ascii="Calibri" w:cs="Calibri" w:eastAsia="Calibri" w:hAnsi="Calibri"/>
          <w:b w:val="false"/>
          <w:bCs w:val="false"/>
          <w:i w:val="false"/>
          <w:iCs w:val="false"/>
          <w:color w:val="1A1A1A"/>
          <w:sz w:val="21"/>
          <w:szCs w:val="21"/>
        </w:rPr>
        <w:t xml:space="preserve"> — Dossier opvragen (verplicht) → milestone "dossier compleet" → case file item "juridisch precedent" wordt op waar gezet → sentry maakt "Juridisch advies inwinnen" verplicht → behandelaar zet mogelijk ook "Herberekening aanvragen" in, naar eigen inzicht → Klacht afhandelen (verplicht, nu pas mogelijk nadat het juridisch advies is afgerond) → case gesloten.</w:t>
      </w:r>
    </w:p>
    <w:p>
      <w:pPr>
        <w:spacing w:after="160" w:line="300"/>
        <w:jc w:val="left"/>
      </w:pPr>
      <w:r>
        <w:rPr>
          <w:rFonts w:ascii="Calibri" w:cs="Calibri" w:eastAsia="Calibri" w:hAnsi="Calibri"/>
          <w:b/>
          <w:bCs/>
          <w:i w:val="false"/>
          <w:iCs w:val="false"/>
          <w:color w:val="1A1A1A"/>
          <w:sz w:val="21"/>
          <w:szCs w:val="21"/>
        </w:rPr>
        <w:t xml:space="preserve">Bevestigingsvraag.</w:t>
      </w:r>
      <w:r>
        <w:rPr>
          <w:rFonts w:ascii="Calibri" w:cs="Calibri" w:eastAsia="Calibri" w:hAnsi="Calibri"/>
          <w:b w:val="false"/>
          <w:bCs w:val="false"/>
          <w:i w:val="false"/>
          <w:iCs w:val="false"/>
          <w:color w:val="1A1A1A"/>
          <w:sz w:val="21"/>
          <w:szCs w:val="21"/>
        </w:rPr>
        <w:t xml:space="preserve"> Beide dossiers doorlopen hetzelfde model — geen enkel element werd toegevoegd of verwijderd tussen de twee scenario's. Dit is de kern van CMMN: één model, meerdere geldige paden, bepaald door de inhoud van het dossier en de keuzes van de behandelaar.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Decorators toepassen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t>
            </w:r>
          </w:p>
        </w:tc>
        <w:tc>
          <w:tcPr>
            <w:tcW w:type="dxa" w:w="45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Decorator</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Repetition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Required</w:t>
            </w:r>
          </w:p>
        </w:tc>
      </w:tr>
      <w:tr>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w:t>
            </w:r>
          </w:p>
        </w:tc>
        <w:tc>
          <w:tcPr>
            <w:tcW w:type="dxa" w:w="45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Manual activation</w:t>
            </w:r>
          </w:p>
        </w:tc>
      </w:tr>
      <w:tr>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4</w:t>
            </w:r>
          </w:p>
        </w:tc>
        <w:tc>
          <w:tcPr>
            <w:tcW w:type="dxa" w:w="45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Auto-complete (op de stage)</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en de moeite van bespreken waard: nee, geen vrijbrief — de discretionary items en hun voorwaarden zijn wel degelijk vastgelegd en begrensd door de planning table; de behandelaar kan alleen kiezen uit wat het model aanbiedt, niet daarbuiten.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en een directe parallel met deel 5's boodschap over BPMN: te veel keuzemogelijkheden zijn evengoed een leesbaarheids- en bruikbaarheidsprobleem, ook al is het mechanisme anders dan bij een overvol BPMN-model.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Goede stelling om te bevestigen en te verdiepen: benoem hier expliciet de vooruitblik naar deel 26 (compliance, risk en control in modellen) in niveau 3, waar dit thema terugkomt op architectuurniveau.</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Realistisch en tegelijk een risico om te bespreken: verwijs naar de disclaimer en naar deel 1, §1.3 — de beperkte ondersteuning is een reden om bij een toolkeuze expliciet te toetsen, niet een reden om de CMMN-denkwijze te laten varen.</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CMMN gebruiken om alsnog een vaste volgorde af te dwingen.</w:t>
      </w:r>
      <w:r>
        <w:rPr>
          <w:rFonts w:ascii="Calibri" w:cs="Calibri" w:eastAsia="Calibri" w:hAnsi="Calibri"/>
          <w:b w:val="false"/>
          <w:bCs w:val="false"/>
          <w:i w:val="false"/>
          <w:iCs w:val="false"/>
          <w:color w:val="1A1A1A"/>
          <w:sz w:val="21"/>
          <w:szCs w:val="21"/>
        </w:rPr>
        <w:t xml:space="preserve"> Het belangrijkste antipatroon van dit deel — zie opdracht 3.</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Alles als human task modelleren</w:t>
      </w:r>
      <w:r>
        <w:rPr>
          <w:rFonts w:ascii="Calibri" w:cs="Calibri" w:eastAsia="Calibri" w:hAnsi="Calibri"/>
          <w:b w:val="false"/>
          <w:bCs w:val="false"/>
          <w:i w:val="false"/>
          <w:iCs w:val="false"/>
          <w:color w:val="1A1A1A"/>
          <w:sz w:val="21"/>
          <w:szCs w:val="21"/>
        </w:rPr>
        <w:t xml:space="preserve">, ook waar een process task of decision task passender was — een teken dat het koppelpunt met BPMN en DMN nog niet is doorleefd. Dat wordt in deel 8 verder uitgewerkt; hier volstaat het benoemen.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Discretionary items verwarren met optionele, maar wel vooraf geplande stappen</w:t>
      </w:r>
      <w:r>
        <w:rPr>
          <w:rFonts w:ascii="Calibri" w:cs="Calibri" w:eastAsia="Calibri" w:hAnsi="Calibri"/>
          <w:b w:val="false"/>
          <w:bCs w:val="false"/>
          <w:i w:val="false"/>
          <w:iCs w:val="false"/>
          <w:color w:val="1A1A1A"/>
          <w:sz w:val="21"/>
          <w:szCs w:val="21"/>
        </w:rPr>
        <w:t xml:space="preserve"> (dat zou eerder "niet-required" zijn binnen een vast plan, met de decorator manual activation, niet een discretionary item).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Sentries te ingewikkeld maken</w:t>
      </w:r>
      <w:r>
        <w:rPr>
          <w:rFonts w:ascii="Calibri" w:cs="Calibri" w:eastAsia="Calibri" w:hAnsi="Calibri"/>
          <w:b w:val="false"/>
          <w:bCs w:val="false"/>
          <w:i w:val="false"/>
          <w:iCs w:val="false"/>
          <w:color w:val="1A1A1A"/>
          <w:sz w:val="21"/>
          <w:szCs w:val="21"/>
        </w:rPr>
        <w:t xml:space="preserve"> door meerdere if-parts te combineren waar één voldoende was — een stilistisch probleem, analoog aan de modelleerdiscipline uit deel 5.</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Onderscheid case/proces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Modelleert dossierwerk als vast pad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het onderscheid in eenduidige gevallen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Herkent en beargumenteert grensgevallen (zoals opdracht 1.3)</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file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of los toegevoegde case file items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file items functioneel gekoppeld aan sentries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Case file fungeert aantoonbaar als sturend mechanisme</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Discretionary items</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Ontbreken, of verplicht gemodelleerd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Correct als discretionary toegepast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Planning table-gedrag expliciet en correct beschreven (opdracht 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Ontbrekende of onjuiste on-part/if-part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Correcte sentries in eenduidige gevallen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Sentries met if-part correct gekoppeld aan case file, zonder overbodige complexiteit</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toegang tot Conductus (let op de CMMN-editorstatus, zie eerdere afspraken over Conductus), CMMN-XML referentiemodel voor opdracht 2 en 3 beschikbaar voor import.</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7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2026-08-17T15:51:40.394Z</dcterms:created>
  <dcterms:modified xsi:type="dcterms:W3CDTF">2026-08-17T15:51:40.395Z</dcterms:modified>
</cp:coreProperties>
</file>

<file path=docProps/custom.xml><?xml version="1.0" encoding="utf-8"?>
<Properties xmlns="http://schemas.openxmlformats.org/officeDocument/2006/custom-properties" xmlns:vt="http://schemas.openxmlformats.org/officeDocument/2006/docPropsVTypes"/>
</file>