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8</w:t>
      </w:r>
    </w:p>
    <w:p>
      <w:pPr>
        <w:spacing w:after="300"/>
      </w:pPr>
      <w:r>
        <w:rPr>
          <w:rFonts w:ascii="Calibri" w:cs="Calibri" w:eastAsia="Calibri" w:hAnsi="Calibri"/>
          <w:b/>
          <w:bCs/>
          <w:color w:val="14213D"/>
          <w:sz w:val="32"/>
          <w:szCs w:val="32"/>
        </w:rPr>
        <w:t xml:space="preserve">Docentenhandleiding — De drie talen samen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integratiedeel van niveau 1. Alles wat in deel 1 tot en met 7 los werd behandeld, komt hier samen. Dit is ook het deel waar zwakke plekken uit eerdere delen zichtbaar worden: een deelnemer die de keuzeboom niet vlot kan toepassen, heeft waarschijnlijk de scheiding van zorgen uit deel 1 nog niet volledig doorleefd. Gebruik dit deel dus ook als diagnostisch moment vóór de examentraining in deel 10.</w:t>
      </w:r>
    </w:p>
    <w:p>
      <w:pPr>
        <w:spacing w:after="160" w:line="300"/>
        <w:jc w:val="left"/>
      </w:pPr>
      <w:r>
        <w:rPr>
          <w:rFonts w:ascii="Calibri" w:cs="Calibri" w:eastAsia="Calibri" w:hAnsi="Calibri"/>
          <w:b w:val="false"/>
          <w:bCs w:val="false"/>
          <w:i w:val="false"/>
          <w:iCs w:val="false"/>
          <w:color w:val="1A1A1A"/>
          <w:sz w:val="21"/>
          <w:szCs w:val="21"/>
        </w:rPr>
        <w:t xml:space="preserve">Kernboodschap: de vaardigheid die telt is niet "ken ik BPMN, DMN en CMMN elk goed", maar "herken ik welk deel van een probleem bij welke taal hoort, en kan ik ze correct koppelen". Dat is een hogere-orde vaardigheid dan de losse delen toetsten, en verdient behandeling als zodanig.</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1-7,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keuzeboom (§8.1)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8.1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vier koppelpunten (§8.2)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8.2 en 8.3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Ad-hoc versus casemodel (§8.3)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8.4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2:25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 antipatronen (§8.4) — 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3:25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§8.5 kort, opdracht 5,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tijdsdruk: laat opdracht 5 (stellingen) vervallen. Laat opdracht 2 (koppelen in Conductus) nooit inkorten — dit is de enige opdracht in het hele niveau waar deelnemers daadwerkelijk drie modellen aan elkaar verbinden, en dat is precies de vaardigheid die deel 10's capstone vereist.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Doorloop de keuzeboom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Vraag 1 (tijdloos?)</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Vraag 2 (vaste volgorde?)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Uitkomst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DMN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CMMN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BPMN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DMN (binnen de case aangeroepen via decision task)</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Nee (behandelaar bepaalt timing)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 — discretionary item</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Fragment 2, 4 en 5 horen inhoudelijk bij elkaar (dezelfde nabestaandenzaak) en laten zien hoe binnen één dossier alle drie de talen tegelijk nodig zijn — precies de opbouw die opdracht 2 laat oefenen.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Koppel je modellen</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Beoordeel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het discretionary item correct vervangen door een process task (niet per ongeluk een gewone human task gebleven)?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Verwijst de process task daadwerkelijk naar een apart, functionerend BPMN-model met de gevraagde drie activiteiten?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Bevat dat BPMN-model een business rule task die naar een DMN-decision verwijst, en is dat koppelpunt herkenbaar (niet zomaar een gewone service task met dezelfde naam)?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het documentatieschema volledig: alle koppelpunten benoemd, met een motivatie waarom dit koppelpunttype en niet een van de andere drie?</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Deelnemers vervangen soms het discretionary item volledig door een gewoon (verplicht) element, waarmee de discretie verloren gaat — controleer expliciet dat de process task nog steeds discretionair beschikbaar is, alleen de </w:t>
      </w:r>
      <w:r>
        <w:rPr>
          <w:rFonts w:ascii="Calibri" w:cs="Calibri" w:eastAsia="Calibri" w:hAnsi="Calibri"/>
          <w:b w:val="false"/>
          <w:bCs w:val="false"/>
          <w:i/>
          <w:iCs/>
          <w:color w:val="1A1A1A"/>
          <w:sz w:val="21"/>
          <w:szCs w:val="21"/>
        </w:rPr>
        <w:t xml:space="preserve">inhoud</w:t>
      </w:r>
      <w:r>
        <w:rPr>
          <w:rFonts w:ascii="Calibri" w:cs="Calibri" w:eastAsia="Calibri" w:hAnsi="Calibri"/>
          <w:b w:val="false"/>
          <w:bCs w:val="false"/>
          <w:i w:val="false"/>
          <w:iCs w:val="false"/>
          <w:color w:val="1A1A1A"/>
          <w:sz w:val="21"/>
          <w:szCs w:val="21"/>
        </w:rPr>
        <w:t xml:space="preserve"> ervan is nu een verwijzing naar een BPMN-proces in plaats van een losse human task.</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Ad-hoc of 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Toelichting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Ad-hoc subprocess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Klein, tijdelijk, ingebed in een verder gestructureerd proces met vast begin/eind, binnen één sessie door één persoon.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Casemodel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Lange looptijd, meerdere behandelaars, evoluerende scope — alle signalen uit §8.3 wijzen op CMMN.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Ad-hoc subprocess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Vergelijkbaar met 1: lokale vrijheid binnen een verder vast proces, geen eigen levenscyclus.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Casemodel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Onvoorspelbare omvang en duur, uiteenlopende vervolgacties — geen vast proces waarbinnen dit als eiland past.</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Situatie 3 is bewust dicht bij situatie 1 geplaatst om te laten zien dat de vuistregel niet draait om het aantal activiteiten maar om de context eromheen — beide situaties hebben een vergelijkbaar klein blok vrije volgorde, en toch is het antwoord in beide gevallen ad-hoc, wat kan verwarren als deelnemers denken dat "meer activiteiten zonder volgorde" richting CMMN wijst. Dat is niet het criterium.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Vind het antipatroon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Fragment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Antipatroon</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Herziening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Zeven exclusive gateways in een keten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Beslislogica in gateways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Vervang door één business rule task met een beslistabel die de zeven condities combineert; de gateway na de business rule task routeert dan alleen nog op de uitkomst.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Kruisende flows, niveaus door elkaar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Spaghettidiagram</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Splits in een landschapsplaat en een apart procesniveau-diagram (§5.1); herorden elementen consistent van links naar rechts.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 met uitsluitend sequentiële entry criteria, geen discretionary items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 als slordige BPMN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Herbeoordeel of dit eigenlijk een BPMN-proces had moeten zijn, of voeg daadwerkelijke discretie toe als het dossierkarakter wel degelijk aanwezig is maar niet gemodelleerd.</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 sluit aan bij de gelaagde herziening die in deel 5 al werd geoefend (structureel/semantisch/stilistisch controleren, niet eenmalig maar doorlopend). Hier: de taalkeuze zelf ook doorlopend herzien, niet eenmalig vastzetten.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Plausibel maar niet bewezen binnen dit programma — een goede aanleiding om te bespreken dat dit precies de vaardigheid is die niveau 2 (deel 18: combinatiepatronen) verder uitbouwt.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punt, met een waarschuwing: een ad-hoc subprocess "omdat de tooling er nog niet klaar voor is" is een pragmatische, tijdelijke keuze — geen reden om de vuistregel uit §8.3 los te laten bij het beoordelen wat het model écht zou moeten zijn.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het waard om tegen te spreken: drie talen nodig hebben is precies wat scheiding van zorgen (deel 1, §1.2) beoogt — het is een teken van goed ontworpen scheiding, niet van onnodige complexiteit. Onnodige complexiteit zou zijn: een taal gebruiken op een plek waar het niet past (de antipatronen van dit deel).</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keuzeboom als eenmalige beslissing behandelen</w:t>
      </w:r>
      <w:r>
        <w:rPr>
          <w:rFonts w:ascii="Calibri" w:cs="Calibri" w:eastAsia="Calibri" w:hAnsi="Calibri"/>
          <w:b w:val="false"/>
          <w:bCs w:val="false"/>
          <w:i w:val="false"/>
          <w:iCs w:val="false"/>
          <w:color w:val="1A1A1A"/>
          <w:sz w:val="21"/>
          <w:szCs w:val="21"/>
        </w:rPr>
        <w:t xml:space="preserve"> in plaats van als iets dat je op elk niveau van het model opnieuw toepast (zie stelling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Koppelpunten als louter technisch detail zien</w:t>
      </w:r>
      <w:r>
        <w:rPr>
          <w:rFonts w:ascii="Calibri" w:cs="Calibri" w:eastAsia="Calibri" w:hAnsi="Calibri"/>
          <w:b w:val="false"/>
          <w:bCs w:val="false"/>
          <w:i w:val="false"/>
          <w:iCs w:val="false"/>
          <w:color w:val="1A1A1A"/>
          <w:sz w:val="21"/>
          <w:szCs w:val="21"/>
        </w:rPr>
        <w:t xml:space="preserve"> in plaats van als architectuurkeuze — vraag bij opdracht 2 door naar de motivatie, niet alleen naar de technische correctheid.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Ad-hoc en case verwarren op basis van hoeveelheid</w:t>
      </w:r>
      <w:r>
        <w:rPr>
          <w:rFonts w:ascii="Calibri" w:cs="Calibri" w:eastAsia="Calibri" w:hAnsi="Calibri"/>
          <w:b w:val="false"/>
          <w:bCs w:val="false"/>
          <w:i w:val="false"/>
          <w:iCs w:val="false"/>
          <w:color w:val="1A1A1A"/>
          <w:sz w:val="21"/>
          <w:szCs w:val="21"/>
        </w:rPr>
        <w:t xml:space="preserve"> in plaats van op basis van de omringende context (zie het bespreekpunt bij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Antipatronen alleen herkennen als ze extreem zijn</w:t>
      </w:r>
      <w:r>
        <w:rPr>
          <w:rFonts w:ascii="Calibri" w:cs="Calibri" w:eastAsia="Calibri" w:hAnsi="Calibri"/>
          <w:b w:val="false"/>
          <w:bCs w:val="false"/>
          <w:i w:val="false"/>
          <w:iCs w:val="false"/>
          <w:color w:val="1A1A1A"/>
          <w:sz w:val="21"/>
          <w:szCs w:val="21"/>
        </w:rPr>
        <w:t xml:space="preserve"> (zeven gateways) maar niet in mildere vorm (drie gateways die samen een beoordeling doen) — benadruk dat de antipatronen een glijdende schaal zijn, geen aan/uit-schakelaar.</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Keuzeboom</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op gewoonte, niet op de drie vragen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Past de boom correct toe op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gemengde situaties en splitst correct (zoals opdracht 1, fragment 2/4/5)</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Koppelpunten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of technisch onjuiste koppeling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koppeling, beperkte motivatie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koppeling met heldere motivatie waarom dit koppelpunt en niet een ander</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Ad-hoc versus case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Beslist op hoeveelheid activiteiten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Beslist grotendeels correct met wisselende argumentatie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Beslist consistent op basis van de omringende context (§8.3)</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Antipatronen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alleen extreme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de drie antipatronen in duidelijke fragmenten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mildere vormen en stelt een concrete herziening voor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het casemodel uit deel 7 en het BPMN-model uit deel 3-5 per deelnemer beschikbaar, modelfragmenten voor opdracht 4 als export.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8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2026-08-17T15:51:41.301Z</dcterms:created>
  <dcterms:modified xsi:type="dcterms:W3CDTF">2026-08-17T15:51:41.302Z</dcterms:modified>
</cp:coreProperties>
</file>

<file path=docProps/custom.xml><?xml version="1.0" encoding="utf-8"?>
<Properties xmlns="http://schemas.openxmlformats.org/officeDocument/2006/custom-properties" xmlns:vt="http://schemas.openxmlformats.org/officeDocument/2006/docPropsVTypes"/>
</file>