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8</w:t>
      </w:r>
    </w:p>
    <w:p>
      <w:pPr>
        <w:spacing w:after="300"/>
      </w:pPr>
      <w:r>
        <w:rPr>
          <w:rFonts w:ascii="Calibri" w:cs="Calibri" w:eastAsia="Calibri" w:hAnsi="Calibri"/>
          <w:b/>
          <w:bCs/>
          <w:color w:val="14213D"/>
          <w:sz w:val="34"/>
          <w:szCs w:val="34"/>
        </w:rPr>
        <w:t xml:space="preserve">Werkboek — De drie talen samen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(koppelen in Conductus) individueel, opdracht 3 in tweetallen, opdracht 4 individueel, opdracht 5 plenair. Reken op ± 2,5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Doorloop de keuzeboom</w:t>
      </w:r>
    </w:p>
    <w:p>
      <w:pPr>
        <w:spacing w:after="160" w:line="300"/>
        <w:jc w:val="left"/>
      </w:pPr>
      <w:r>
        <w:rPr>
          <w:rFonts w:ascii="Calibri" w:cs="Calibri" w:eastAsia="Calibri" w:hAnsi="Calibri"/>
          <w:b w:val="false"/>
          <w:bCs w:val="false"/>
          <w:i w:val="false"/>
          <w:iCs w:val="false"/>
          <w:color w:val="1A1A1A"/>
          <w:sz w:val="21"/>
          <w:szCs w:val="21"/>
        </w:rPr>
        <w:t xml:space="preserve">Pas de drie vragen uit §8.1 toe op elk fragment. Noteer per fragment het antwoord op elke vraag en de uiteindelijke taalkeuze (of combinatie).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"Bepaal of een aanvraag automatisch verwerkt mag worden, op basis van bedrag, type mutatie en risicoprofiel."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"Behandel een nabestaandenzaak: welke onderzoeken nodig zijn en in welke volgorde, bepaalt de behandelaar per geval."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"Verwerk de aanvraag: ontvangen, controleren, doorsturen naar berekening, bevestigen."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de nabestaandenzaak: reken, zodra alle benodigde gegevens compleet zijn, automatisch het nabestaandenpensioen uit volgens een vaste rekenregel."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diezelfde zaak: als er een executeur-testamentair is aangesteld, moet er contact worden opgenomen — de behandelaar bepaalt zelf wanneer dat het beste past in het traject."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Koppel je modellen</w:t>
      </w:r>
    </w:p>
    <w:p>
      <w:pPr>
        <w:spacing w:after="160" w:line="300"/>
        <w:jc w:val="left"/>
      </w:pPr>
      <w:r>
        <w:rPr>
          <w:rFonts w:ascii="Calibri" w:cs="Calibri" w:eastAsia="Calibri" w:hAnsi="Calibri"/>
          <w:b w:val="false"/>
          <w:bCs w:val="false"/>
          <w:i w:val="false"/>
          <w:iCs w:val="false"/>
          <w:color w:val="1A1A1A"/>
          <w:sz w:val="21"/>
          <w:szCs w:val="21"/>
        </w:rPr>
        <w:t xml:space="preserve">Neem je casemodel uit deel 7 (opdracht 3) en je BPMN-model uit deel 3-5 (het WI-114-fragment). In Conductus: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Vervang het discretionary item "Herberekening aanvragen" in je casemodel door een </w:t>
      </w:r>
      <w:r>
        <w:rPr>
          <w:rFonts w:ascii="Calibri" w:cs="Calibri" w:eastAsia="Calibri" w:hAnsi="Calibri"/>
          <w:b/>
          <w:bCs/>
          <w:i w:val="false"/>
          <w:iCs w:val="false"/>
          <w:color w:val="1A1A1A"/>
          <w:sz w:val="21"/>
          <w:szCs w:val="21"/>
        </w:rPr>
        <w:t xml:space="preserve">process task</w:t>
      </w:r>
      <w:r>
        <w:rPr>
          <w:rFonts w:ascii="Calibri" w:cs="Calibri" w:eastAsia="Calibri" w:hAnsi="Calibri"/>
          <w:b w:val="false"/>
          <w:bCs w:val="false"/>
          <w:i w:val="false"/>
          <w:iCs w:val="false"/>
          <w:color w:val="1A1A1A"/>
          <w:sz w:val="21"/>
          <w:szCs w:val="21"/>
        </w:rPr>
        <w:t xml:space="preserve"> die verwijst naar een (nieuw, eenvoudig) BPMN-proces met drie activiteiten: gegevens ophalen, herberekenen, resultaat vastleggen.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Voeg in dat BPMN-proces een </w:t>
      </w:r>
      <w:r>
        <w:rPr>
          <w:rFonts w:ascii="Calibri" w:cs="Calibri" w:eastAsia="Calibri" w:hAnsi="Calibri"/>
          <w:b/>
          <w:bCs/>
          <w:i w:val="false"/>
          <w:iCs w:val="false"/>
          <w:color w:val="1A1A1A"/>
          <w:sz w:val="21"/>
          <w:szCs w:val="21"/>
        </w:rPr>
        <w:t xml:space="preserve">business rule task</w:t>
      </w:r>
      <w:r>
        <w:rPr>
          <w:rFonts w:ascii="Calibri" w:cs="Calibri" w:eastAsia="Calibri" w:hAnsi="Calibri"/>
          <w:b w:val="false"/>
          <w:bCs w:val="false"/>
          <w:i w:val="false"/>
          <w:iCs w:val="false"/>
          <w:color w:val="1A1A1A"/>
          <w:sz w:val="21"/>
          <w:szCs w:val="21"/>
        </w:rPr>
        <w:t xml:space="preserve"> toe die verwijst naar een DMN-decision (je mag de decision uit deel 6, opdracht 2-3 hergebruiken of een nieuwe, eenvoudige maken).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Documenteer in een kort schema (kan als tekstannotatie of los document): welk element in welk model naar welk ander model verwijst, en waarom je voor dit koppelpunt en niet voor een van de andere drie hebt gekozen.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Ad-hoc of case? *(tweetallen)*</w:t>
      </w:r>
    </w:p>
    <w:p>
      <w:pPr>
        <w:spacing w:after="160" w:line="300"/>
        <w:jc w:val="left"/>
      </w:pPr>
      <w:r>
        <w:rPr>
          <w:rFonts w:ascii="Calibri" w:cs="Calibri" w:eastAsia="Calibri" w:hAnsi="Calibri"/>
          <w:b w:val="false"/>
          <w:bCs w:val="false"/>
          <w:i w:val="false"/>
          <w:iCs w:val="false"/>
          <w:color w:val="1A1A1A"/>
          <w:sz w:val="21"/>
          <w:szCs w:val="21"/>
        </w:rPr>
        <w:t xml:space="preserve">Voor elke situatie: een ad-hoc subprocess binnen een BPMN-proces, of een volwaardig casemodel? Beargumenteer met de vuistregel uit §8.3 — kijk naar wat er omheen zit, niet alleen naar de afwezigheid van volgorde.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het reguliere onboardingproces van een nieuwe werkgever zit een blok van vier controlestappen die in willekeurige volgorde uitgevoerd mogen worden, maar die allemaal binnen dezelfde dag worden afgerond door dezelfde medewerker.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integriteitsonderzoek dat weken tot maanden loopt, door verschillende onderzoekers op verschillende momenten wordt bijgewerkt, en waarbij nieuwe onderzoeksrichtingen kunnen ontstaan naarmate er meer bekend wordt.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reeks van drie afrondende controles aan het eind van een verder volledig vast proces, waarbij de volgorde van de drie controles niet uitmaakt maar ze wel alle drie binnen dezelfde sessie gebeuren.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vermoeden van fraude dat leidt tot een onderzoek waarvan de omvang, duur en betrokken partijen vooraf niet vaststaan, en dat kan resulteren in uiteenlopende vervolgacties.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Vind het antipatroon</w:t>
      </w:r>
    </w:p>
    <w:p>
      <w:pPr>
        <w:spacing w:after="160" w:line="300"/>
        <w:jc w:val="left"/>
      </w:pPr>
      <w:r>
        <w:rPr>
          <w:rFonts w:ascii="Calibri" w:cs="Calibri" w:eastAsia="Calibri" w:hAnsi="Calibri"/>
          <w:b w:val="false"/>
          <w:bCs w:val="false"/>
          <w:i w:val="false"/>
          <w:iCs w:val="false"/>
          <w:color w:val="1A1A1A"/>
          <w:sz w:val="21"/>
          <w:szCs w:val="21"/>
        </w:rPr>
        <w:t xml:space="preserve">Bij elk van de drie fragmenten (aangeleverd als export): welk antipatroon uit §8.4 is hier van toepassing, en hoe zou je het model herzien?</w:t>
      </w:r>
    </w:p>
    <w:p>
      <w:pPr>
        <w:spacing w:after="180" w:before="120"/>
      </w:pPr>
      <w:r>
        <w:rPr>
          <w:rFonts w:ascii="Calibri" w:cs="Calibri" w:eastAsia="Calibri" w:hAnsi="Calibri"/>
          <w:i/>
          <w:iCs/>
          <w:color w:val="6B7280"/>
          <w:sz w:val="20"/>
          <w:szCs w:val="20"/>
        </w:rPr>
        <w:t xml:space="preserve">(Fragmenten: een BPMN-diagram met een keten van zeven exclusive gateways die samen een acceptatiebeoordeling uitvoeren; een BPMN-diagram met veel kruisende sequence flows en drie modelleerniveaus door elkaar; een CMMN-diagram waarin elke taak een entry criterion heeft dat uitsluitend verwijst naar het voltooien van de vorige taak, zonder discretionary items.)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keuzeboom zou je bij elk deel van een model opnieuw moeten doorlopen, niet alleen aan het begin.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modelleur die alle drie de talen goed beheerst, maakt minder antipatronen dan een modelleur die er maar één beheerst — ook binnen die ene taal.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Ad-hoc subprocessen zijn in de praktijk vaak een compromis: eigenlijk CMMN, maar de tooling of de organisatie is er nog niet klaar voor.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Het feit dat je een stuk werk in drie talen moet uitsplitsen, is zelf al een teken dat het proces te complex is en vereenvoudigd zou moeten worden vóór je het modelleert.</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9 behandelt tooling, uitwisseling en beheer: XML-serialisatie, wat er onder een diagram zit, en hoe je een modelrepository inricht. Deel 10 sluit niveau 1 af met examentraining en de capstone — het model dat je in deel 8, opdracht 2 hebt gebouwd, is een directe basis voor de capstone.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2026-08-17T15:51:41.138Z</dcterms:created>
  <dcterms:modified xsi:type="dcterms:W3CDTF">2026-08-17T15:51:41.139Z</dcterms:modified>
</cp:coreProperties>
</file>

<file path=docProps/custom.xml><?xml version="1.0" encoding="utf-8"?>
<Properties xmlns="http://schemas.openxmlformats.org/officeDocument/2006/custom-properties" xmlns:vt="http://schemas.openxmlformats.org/officeDocument/2006/docPropsVTypes"/>
</file>