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9</w:t>
      </w:r>
    </w:p>
    <w:p>
      <w:pPr>
        <w:spacing w:after="300"/>
      </w:pPr>
      <w:r>
        <w:rPr>
          <w:rFonts w:ascii="Calibri" w:cs="Calibri" w:eastAsia="Calibri" w:hAnsi="Calibri"/>
          <w:b/>
          <w:bCs/>
          <w:color w:val="14213D"/>
          <w:sz w:val="32"/>
          <w:szCs w:val="32"/>
        </w:rPr>
        <w:t xml:space="preserve">Docentenhandleiding — Tooling, uitwisseling en beheer</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minst "tekenintensieve" deel van niveau 1 — meer begripsvorming dan modelleren, met één praktische opdracht (2) die deelnemers echt onder de motorkap van hun eigen modellen laat kijken. Positioneer dit deel expliciet als voorbereiding op de rest van het programma: vanaf niveau 2 wordt uitvoerbaarheid een terugkerend thema (deel 19), en de basisbegrippen hier (XML, DI, extensies) voorkomen dat dat later als volslagen nieuwe stof aanvoelt.</w:t>
      </w:r>
    </w:p>
    <w:p>
      <w:pPr>
        <w:spacing w:after="160" w:line="300"/>
        <w:jc w:val="left"/>
      </w:pPr>
      <w:r>
        <w:rPr>
          <w:rFonts w:ascii="Calibri" w:cs="Calibri" w:eastAsia="Calibri" w:hAnsi="Calibri"/>
          <w:b w:val="false"/>
          <w:bCs w:val="false"/>
          <w:i w:val="false"/>
          <w:iCs w:val="false"/>
          <w:color w:val="1A1A1A"/>
          <w:sz w:val="21"/>
          <w:szCs w:val="21"/>
        </w:rPr>
        <w:t xml:space="preserve">Belangrijk kader vooraf: dit deel is geen verkapte productdemonstratie van Conductus. Het gaat om de generieke problematiek van uitwisseling en toolkeuze; Conductus is één voorbeeld daarvan, niet het onderwerp zelf. Bewaak dat onderscheid, vooral in opdracht 2 en 4.</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8,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Wat er onder een diagram zit (§9.1)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9.1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Uitwisseling tussen tools (§9.2)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9.2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toollandschap (§9.3)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9.3</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Ondersteuning per taal (§9.4) — 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Repositorybeheer (§9.5), opdracht 5,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opdracht 5 kan vervallen. Opdracht 2 kan worden ingekort tot alleen de export en de attributenzoektocht (stap 1-2) als een tweede tool voor vergelijking niet beschikbaar is; stap 3 (opnieuw importeren) is dan minder informatief maar niet essentieel.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Model versus weergave</w:t>
      </w:r>
    </w:p>
    <w:p>
      <w:pPr>
        <w:spacing w:after="160" w:line="300"/>
        <w:jc w:val="left"/>
      </w:pPr>
      <w:r>
        <w:rPr>
          <w:rFonts w:ascii="Calibri" w:cs="Calibri" w:eastAsia="Calibri" w:hAnsi="Calibri"/>
          <w:b w:val="false"/>
          <w:bCs w:val="false"/>
          <w:i w:val="false"/>
          <w:iCs w:val="false"/>
          <w:color w:val="1A1A1A"/>
          <w:sz w:val="21"/>
          <w:szCs w:val="21"/>
        </w:rPr>
        <w:t xml:space="preserve">Afhankelijk van het aangeleverde XML-fragment; in algemene termen: modelregels bevatten elementdefinities, ID's, conditie-expressies, en de relaties (sourceRef/targetRef bij sequence flows). DI-regels staan doorgaans in een apart `BPMNDiagram`/`BPMNPlane`-blok (of het CMMN/DMN-equivalent) met coördinaten en afmetingen.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Zonder DI-regels: het model importeert nog steeds correct qua betekenis, maar de tool moet zelf een lay-out genereren — vaak een minder overzichtelijke, automatisch gegenereerde plaatsing in plaats van de oorspronkelijke, doordachte indeling.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Zonder wijziging aan de DI: de visuele positionering blijft identiek, maar het gedrag van het model verandert (bijvoorbeeld een andere routering bij uitvoering) zonder dat dit in de tekening zichtbaar wordt — een goede illustratie van waarom je een model niet alleen visueel kunt controleren.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Test de uitwisseling</w:t>
      </w:r>
    </w:p>
    <w:p>
      <w:pPr>
        <w:spacing w:after="160" w:line="300"/>
        <w:jc w:val="left"/>
      </w:pPr>
      <w:r>
        <w:rPr>
          <w:rFonts w:ascii="Calibri" w:cs="Calibri" w:eastAsia="Calibri" w:hAnsi="Calibri"/>
          <w:b w:val="false"/>
          <w:bCs w:val="false"/>
          <w:i w:val="false"/>
          <w:iCs w:val="false"/>
          <w:color w:val="1A1A1A"/>
          <w:sz w:val="21"/>
          <w:szCs w:val="21"/>
        </w:rPr>
        <w:t xml:space="preserve">Verwacht bij stap 2: attributen die verwijzen naar Flowable-specifieke concepten (bijvoorbeeld formuliersleutels, expressietaal-instellingen, of connector-configuratie) die niet in de kale BPMN/DMN-specificatie staan. Laat deelnemers deze zelf herkennen aan het feit dat ze in een apart namespace-voorvoegsel staan — dat is precies het mechanisme waarmee standaarden toolspecifieke extensies toestaan zonder de kernstandaard te breken.</w:t>
      </w:r>
    </w:p>
    <w:p>
      <w:pPr>
        <w:spacing w:after="160" w:line="300"/>
        <w:jc w:val="left"/>
      </w:pPr>
      <w:r>
        <w:rPr>
          <w:rFonts w:ascii="Calibri" w:cs="Calibri" w:eastAsia="Calibri" w:hAnsi="Calibri"/>
          <w:b w:val="false"/>
          <w:bCs w:val="false"/>
          <w:i w:val="false"/>
          <w:iCs w:val="false"/>
          <w:color w:val="1A1A1A"/>
          <w:sz w:val="21"/>
          <w:szCs w:val="21"/>
        </w:rPr>
        <w:t xml:space="preserve">Bij stap 3: kleine DI-verschillen (bijvoorbeeld afgeronde coördinaten) zijn onschuldig; een substantiële verschuiving van elementen wijst op een tool die de DI-informatie niet volledig correct herimporteert — bespreek dit als een reëel risico, niet als een fout van de deelnemer.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Kies de toolcategorie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Waarom niet de andere drie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Open source toolkit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Enterprise-suite en low-code zijn overgedimensioneerd voor puur documentatiedoeleinden; EA-repository voegt architectuurkoppeling toe die hier niet gevraagd wordt.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Enterprise-suite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Open source toolkits missen doorgaans ingebouwde monitoring en mining; EA-repository is niet primair gericht op uitvoering; low-code kan uitvoerbaar zijn maar mist vaak de dieptefunctionaliteit van monitoring/mining die hier expliciet gevraagd wordt.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EA-repository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Dit is precies het onderscheidende sterke punt van deze categorie; de andere drie bieden dit zelden als kernfunctionaliteit.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Low-code platform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Open source toolkits vereisen juist meer eigen ontwikkelcapaciteit, niet minder; enterprise-suites en EA-repositories zijn niet primair gericht op snelle applicatie-generatie.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Stel de vier vragen</w:t>
      </w:r>
    </w:p>
    <w:p>
      <w:pPr>
        <w:spacing w:after="160" w:line="300"/>
        <w:jc w:val="left"/>
      </w:pPr>
      <w:r>
        <w:rPr>
          <w:rFonts w:ascii="Calibri" w:cs="Calibri" w:eastAsia="Calibri" w:hAnsi="Calibri"/>
          <w:b w:val="false"/>
          <w:bCs w:val="false"/>
          <w:i w:val="false"/>
          <w:iCs w:val="false"/>
          <w:color w:val="1A1A1A"/>
          <w:sz w:val="21"/>
          <w:szCs w:val="21"/>
        </w:rPr>
        <w:t xml:space="preserve">Voorbeelduitwerking voor Meridiaan/Conductus: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en DMN: uitvoering vereist. CMMN: vooralsnog analyse en documentatie (zie de eerdere afspraak over de status van de Conductus CMMN-editor).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Nee — expliciet niet voor alle drie gelijk; dit is precies de situatie die §9.4 beschrijft als reden om uitvoeringsambitie en modelleerambitie apart te beoordelen per taal.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Verwacht concrete elementen uit de eigen modellen van de deelnemer: bijvoorbeeld business rule task, timer boundary event, multi-instance, specifieke hit policies, discretionary items. Beoordeel of de deelnemer werkelijk teruggrijpt op eigen werk uit deel 3-8, niet een generieke lijst opsomt.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Dit vereist een feitelijke toets (zoals beschreven in §9.2) die in dit werkboek niet is uitgevoerd — een goed antwoord benoemt dat de vraag op dit moment nog open staat en wat er nodig is om hem te beantwoorden.</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een goede plek om terug te verwijzen naar het eerdere gesprek over Conductus' eigen CMMN-editor (het bpmn.io-gebaseerde cmmn-js, gearchiveerd) als een concreet, actueel voorbeeld van precies het soort afweging dat dit deel behandelt — zonder dat de docentenhandleiding daar verder op ingaat, want dat is contextspecifiek voor dit programma en geen examenstof.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verdedigbaar: analyse, communicatie en documentatie zijn zelfstandige waarden, niet alleen een opstap naar uitvoering.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met een praktisch bezwaar: bij een cursus die (zoals dit programma) een eigen tool gebruikt, is de toolkeuze door de organisatie al gemaakt vóór de cursus start — de vraag verschuift dan naar hoe je nieuwe deelnemers daarop voorbereidt.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Goede, prikkelende stelling: een repository zonder versiebeheer wekt de suggestie van beheerste documentatie terwijl de inhoud kan verouderen zonder dat iemand het merkt — vergelijkbaar met de Meridiaan-bibliotheek uit deel 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Open vraag zonder hard antwoord; goed voor een korte discussie over markttrends, geen examenstof.</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Model en DI door elkaar behandelen</w:t>
      </w:r>
      <w:r>
        <w:rPr>
          <w:rFonts w:ascii="Calibri" w:cs="Calibri" w:eastAsia="Calibri" w:hAnsi="Calibri"/>
          <w:b w:val="false"/>
          <w:bCs w:val="false"/>
          <w:i w:val="false"/>
          <w:iCs w:val="false"/>
          <w:color w:val="1A1A1A"/>
          <w:sz w:val="21"/>
          <w:szCs w:val="21"/>
        </w:rPr>
        <w:t xml:space="preserve"> als één ondeelbaar geheel — de kern van §9.1 wordt gemist als deelnemers denken dat "het bestand" maar één soort informatie bevat.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Uitwisselingsproblemen toeschrijven aan "slechte tools"</w:t>
      </w:r>
      <w:r>
        <w:rPr>
          <w:rFonts w:ascii="Calibri" w:cs="Calibri" w:eastAsia="Calibri" w:hAnsi="Calibri"/>
          <w:b w:val="false"/>
          <w:bCs w:val="false"/>
          <w:i w:val="false"/>
          <w:iCs w:val="false"/>
          <w:color w:val="1A1A1A"/>
          <w:sz w:val="21"/>
          <w:szCs w:val="21"/>
        </w:rPr>
        <w:t xml:space="preserve"> in plaats van het structurele onderscheid tussen kernstandaard en extensies te herkennen.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CMMN's beperkte ondersteuning verwarren met beperkte waarde van de taal.</w:t>
      </w:r>
      <w:r>
        <w:rPr>
          <w:rFonts w:ascii="Calibri" w:cs="Calibri" w:eastAsia="Calibri" w:hAnsi="Calibri"/>
          <w:b w:val="false"/>
          <w:bCs w:val="false"/>
          <w:i w:val="false"/>
          <w:iCs w:val="false"/>
          <w:color w:val="1A1A1A"/>
          <w:sz w:val="21"/>
          <w:szCs w:val="21"/>
        </w:rPr>
        <w:t xml:space="preserve"> Herhaal expliciet: dit is een toolingvraagstuk, geen inhoudelijk oordeel over CMMN (zie ook deel 7's disclaimer).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Toolcategorieën als hokjes zien in plaats van een spectrum</w:t>
      </w:r>
      <w:r>
        <w:rPr>
          <w:rFonts w:ascii="Calibri" w:cs="Calibri" w:eastAsia="Calibri" w:hAnsi="Calibri"/>
          <w:b w:val="false"/>
          <w:bCs w:val="false"/>
          <w:i w:val="false"/>
          <w:iCs w:val="false"/>
          <w:color w:val="1A1A1A"/>
          <w:sz w:val="21"/>
          <w:szCs w:val="21"/>
        </w:rPr>
        <w:t xml:space="preserve"> — sommige producten overlappen meerdere categorieën; de indeling is een denkkader, geen strikte classificatie.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 versus DI</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Ziet het bestand als één geheel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model en DI conceptueel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Voorspelt correct wat er gebeurt bij wijziging van elk apart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Uitwisseling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Kent het risico niet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extensies en versieverschillen als risico</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Stelt een concrete, uitvoerbare toets voor vóór een toolwissel</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Toolcategorieën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willekeurig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niet de andere drie pasten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Taalspecifieke ondersteuning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Behandelt alle drie talen gelijk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het verschil in adoptie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Past de vier vragen uit §9.4 concreet toe op een eigen situatie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een teksteditor of viewer voor XML-bestanden, het gekoppelde model uit deel 8 opdracht 2 per deelnemer beschikbaar, XML-fragment voor opdracht 1 als bijlage.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2026-08-17T15:51:42.233Z</dcterms:created>
  <dcterms:modified xsi:type="dcterms:W3CDTF">2026-08-17T15:51:42.234Z</dcterms:modified>
</cp:coreProperties>
</file>

<file path=docProps/custom.xml><?xml version="1.0" encoding="utf-8"?>
<Properties xmlns="http://schemas.openxmlformats.org/officeDocument/2006/custom-properties" xmlns:vt="http://schemas.openxmlformats.org/officeDocument/2006/docPropsVTypes"/>
</file>