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2563A8"/>
          <w:sz w:val="20"/>
          <w:szCs w:val="20"/>
        </w:rPr>
        <w:t xml:space="preserve">BPMN, CMMN &amp; DMN</w:t>
      </w:r>
    </w:p>
    <w:p>
      <w:pPr>
        <w:spacing w:after="40"/>
      </w:pPr>
      <w:r>
        <w:rPr>
          <w:rFonts w:ascii="Calibri" w:cs="Calibri" w:eastAsia="Calibri" w:hAnsi="Calibri"/>
          <w:color w:val="6B7280"/>
          <w:sz w:val="22"/>
          <w:szCs w:val="22"/>
        </w:rPr>
        <w:t xml:space="preserve">Niveau 1 — Fundament · Deel 10</w:t>
      </w:r>
    </w:p>
    <w:p>
      <w:pPr>
        <w:spacing w:after="60"/>
      </w:pPr>
      <w:r>
        <w:rPr>
          <w:rFonts w:ascii="Calibri" w:cs="Calibri" w:eastAsia="Calibri" w:hAnsi="Calibri"/>
          <w:b/>
          <w:bCs/>
          <w:color w:val="14213D"/>
          <w:sz w:val="40"/>
          <w:szCs w:val="40"/>
        </w:rPr>
        <w:t xml:space="preserve">Examentraining en capstone</w:t>
      </w:r>
    </w:p>
    <w:p>
      <w:pPr>
        <w:spacing w:after="300"/>
      </w:pPr>
      <w:r>
        <w:rPr>
          <w:rFonts w:ascii="Calibri" w:cs="Calibri" w:eastAsia="Calibri" w:hAnsi="Calibri"/>
          <w:i/>
          <w:iCs/>
          <w:color w:val="6B7280"/>
          <w:sz w:val="19"/>
          <w:szCs w:val="19"/>
        </w:rPr>
        <w:t xml:space="preserve">Deelnemersreader · Studielast ± 6 uur</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val="false"/>
                <w:bCs w:val="false"/>
                <w:i/>
                <w:iCs/>
                <w:color w:val="14213D"/>
                <w:sz w:val="20"/>
                <w:szCs w:val="20"/>
              </w:rPr>
              <w:t xml:space="preserve">Dit materiaal bereidt voor op het examen OCEB 2 Fundamental van de Object Management Group. Het is geen vervanging van het officiële examenmateriaal. De proefexamens in dit deel zijn door dit programma ontwikkeld ter oefening en zijn geen officiële OMG-examenvragen.</w:t>
            </w:r>
          </w:p>
        </w:tc>
      </w:tr>
    </w:tbl>
    <w:p>
      <w:pPr>
        <w:pStyle w:val="Heading2"/>
        <w:pBdr>
          <w:bottom w:val="single" w:color="2563A8" w:sz="6" w:space="4"/>
        </w:pBdr>
        <w:spacing w:after="160" w:before="300"/>
      </w:pPr>
      <w:r>
        <w:rPr>
          <w:rFonts w:ascii="Calibri" w:cs="Calibri" w:eastAsia="Calibri" w:hAnsi="Calibri"/>
          <w:b/>
          <w:bCs/>
          <w:color w:val="2563A8"/>
          <w:sz w:val="24"/>
          <w:szCs w:val="24"/>
        </w:rPr>
        <w:t xml:space="preserve">Leerdoelen</w:t>
      </w:r>
    </w:p>
    <w:p>
      <w:pPr>
        <w:spacing w:after="160" w:line="300"/>
        <w:jc w:val="left"/>
      </w:pPr>
      <w:r>
        <w:rPr>
          <w:rFonts w:ascii="Calibri" w:cs="Calibri" w:eastAsia="Calibri" w:hAnsi="Calibri"/>
          <w:b w:val="false"/>
          <w:bCs w:val="false"/>
          <w:i w:val="false"/>
          <w:iCs w:val="false"/>
          <w:color w:val="1A1A1A"/>
          <w:sz w:val="21"/>
          <w:szCs w:val="21"/>
        </w:rPr>
        <w:t xml:space="preserve">Na dit deel kun je:</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examenblauwdruk van OCEB 2 Fundamental benoemen: de onderdelen en hun gewicht.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diagram-gebaseerde examenvraag correct analyseren binnen de tijd die daarvoor staat.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Alle stof van deel 1 tot en met 9 toepassen op een nieuw, samenhangend domein.</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end-to-end model opleveren in BPMN, DMN en CMMN met een onderbouwde modelverantwoording.</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Eigen en andermans werk beoordelen met de cumulatieve reviewrubric van dit niveau.</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10.1 De examenblauwdruk</w:t>
      </w:r>
    </w:p>
    <w:p>
      <w:pPr>
        <w:spacing w:after="160" w:line="300"/>
        <w:jc w:val="left"/>
      </w:pPr>
      <w:r>
        <w:rPr>
          <w:rFonts w:ascii="Calibri" w:cs="Calibri" w:eastAsia="Calibri" w:hAnsi="Calibri"/>
          <w:b w:val="false"/>
          <w:bCs w:val="false"/>
          <w:i w:val="false"/>
          <w:iCs w:val="false"/>
          <w:color w:val="1A1A1A"/>
          <w:sz w:val="21"/>
          <w:szCs w:val="21"/>
        </w:rPr>
        <w:t xml:space="preserve">OCEB 2 Fundamental bestaat uit meerdere onderdelen, elk met een eigen gewicht in het totale examen. De precieze percentages en het aantal vragen kunnen door OMG worden bijgesteld; onderstaande indeling geeft de structuur zoals die in dit programma is gehanteerd en dient gecontroleerd te worden tegen de actuele OMG-documentatie voorafgaand aan inschrijving voor het examen.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Onderdeel</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Kernonderwerp</w:t>
            </w:r>
          </w:p>
        </w:tc>
        <w:tc>
          <w:tcPr>
            <w:tcW w:type="dxa" w:w="3000"/>
            <w:shd w:fill="14213D" w:color="auto" w:val="clear"/>
            <w:tcMar>
              <w:top w:type="dxa" w:w="100"/>
              <w:left w:type="dxa" w:w="120"/>
              <w:bottom w:type="dxa" w:w="100"/>
              <w:right w:type="dxa" w:w="120"/>
            </w:tcMar>
          </w:tcPr>
          <w:p>
            <w:r>
              <w:rPr>
                <w:rFonts w:ascii="Calibri" w:cs="Calibri" w:eastAsia="Calibri" w:hAnsi="Calibri"/>
                <w:b/>
                <w:bCs/>
                <w:color w:val="FFFFFF"/>
                <w:sz w:val="19"/>
                <w:szCs w:val="19"/>
              </w:rPr>
              <w:t xml:space="preserve">Behandeld in</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 Basics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 fundamentals, strategie, projectmanagement op hoofdlijnen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Deel 2</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Business Process Concepts and Fundamentals</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Definitie van een bedrijfsproces, procesidentificatie</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Deel 1, deel 2</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 Process Management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 BPM-levenscyclus en de rol van procesmanagement</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Deel 2</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Business Motivation Modeling</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BMM: ends, means, influencers</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Deel 2</w:t>
            </w:r>
          </w:p>
        </w:tc>
      </w:tr>
      <w:tr>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Business Process Modeling Concepts</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BPMN-conformance subclasses, elementtypen</w:t>
            </w:r>
          </w:p>
        </w:tc>
        <w:tc>
          <w:tcPr>
            <w:tcW w:type="dxa" w:w="3000"/>
            <w:shd w:fill="FFFFFF" w:color="auto" w:val="clear"/>
            <w:tcMar>
              <w:top w:type="dxa" w:w="90"/>
              <w:left w:type="dxa" w:w="120"/>
              <w:bottom w:type="dxa" w:w="90"/>
              <w:right w:type="dxa" w:w="120"/>
            </w:tcMar>
          </w:tcPr>
          <w:p>
            <w:r>
              <w:rPr>
                <w:rFonts w:ascii="Calibri" w:cs="Calibri" w:eastAsia="Calibri" w:hAnsi="Calibri"/>
                <w:color w:val="1A1A1A"/>
                <w:sz w:val="19"/>
                <w:szCs w:val="19"/>
              </w:rPr>
              <w:t xml:space="preserve">Deel 3, deel 4</w:t>
            </w:r>
          </w:p>
        </w:tc>
      </w:tr>
      <w:tr>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Business Process Modeling Skills</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Diagrammen lezen en beoordelen</w:t>
            </w:r>
          </w:p>
        </w:tc>
        <w:tc>
          <w:tcPr>
            <w:tcW w:type="dxa" w:w="3000"/>
            <w:shd w:fill="EEF1F6" w:color="auto" w:val="clear"/>
            <w:tcMar>
              <w:top w:type="dxa" w:w="90"/>
              <w:left w:type="dxa" w:w="120"/>
              <w:bottom w:type="dxa" w:w="90"/>
              <w:right w:type="dxa" w:w="120"/>
            </w:tcMar>
          </w:tcPr>
          <w:p>
            <w:r>
              <w:rPr>
                <w:rFonts w:ascii="Calibri" w:cs="Calibri" w:eastAsia="Calibri" w:hAnsi="Calibri"/>
                <w:color w:val="1A1A1A"/>
                <w:sz w:val="19"/>
                <w:szCs w:val="19"/>
              </w:rPr>
              <w:t xml:space="preserve">Deel 3, deel 4, deel 5</w:t>
            </w:r>
          </w:p>
        </w:tc>
      </w:tr>
    </w:tbl>
    <w:p>
      <w:pPr>
        <w:spacing w:before="200"/>
      </w:pPr>
    </w:p>
    <w:p>
      <w:pPr>
        <w:spacing w:after="160" w:line="300"/>
        <w:jc w:val="left"/>
      </w:pPr>
      <w:r>
        <w:rPr>
          <w:rFonts w:ascii="Calibri" w:cs="Calibri" w:eastAsia="Calibri" w:hAnsi="Calibri"/>
          <w:b w:val="false"/>
          <w:bCs w:val="false"/>
          <w:i w:val="false"/>
          <w:iCs w:val="false"/>
          <w:color w:val="1A1A1A"/>
          <w:sz w:val="21"/>
          <w:szCs w:val="21"/>
        </w:rPr>
        <w:t xml:space="preserve">DMN- en CMMN-gerelateerde vragen zijn beperkter vertegenwoordigd op Fundamental-niveau dan BPMN, maar komen voor, met name waar het gaat om het herkennen van wanneer welke taal past (deel 8). Verwacht dat de meeste vragen </w:t>
      </w:r>
      <w:r>
        <w:rPr>
          <w:rFonts w:ascii="Calibri" w:cs="Calibri" w:eastAsia="Calibri" w:hAnsi="Calibri"/>
          <w:b/>
          <w:bCs/>
          <w:i w:val="false"/>
          <w:iCs w:val="false"/>
          <w:color w:val="1A1A1A"/>
          <w:sz w:val="21"/>
          <w:szCs w:val="21"/>
        </w:rPr>
        <w:t xml:space="preserve">scenario-gebaseerd</w:t>
      </w:r>
      <w:r>
        <w:rPr>
          <w:rFonts w:ascii="Calibri" w:cs="Calibri" w:eastAsia="Calibri" w:hAnsi="Calibri"/>
          <w:b w:val="false"/>
          <w:bCs w:val="false"/>
          <w:i w:val="false"/>
          <w:iCs w:val="false"/>
          <w:color w:val="1A1A1A"/>
          <w:sz w:val="21"/>
          <w:szCs w:val="21"/>
        </w:rPr>
        <w:t xml:space="preserve"> zijn: een korte tekst of een klein diagram, gevolgd door een vraag die vraagt om classificatie, foutdetectie, of het voorspellen van gedrag (bijvoorbeeld tokenlogica, deel 4 §4.7).</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10.2 Hoe je een diagram-vraag aanpakt</w:t>
      </w:r>
    </w:p>
    <w:p>
      <w:pPr>
        <w:spacing w:after="160" w:line="300"/>
        <w:jc w:val="left"/>
      </w:pPr>
      <w:r>
        <w:rPr>
          <w:rFonts w:ascii="Calibri" w:cs="Calibri" w:eastAsia="Calibri" w:hAnsi="Calibri"/>
          <w:b w:val="false"/>
          <w:bCs w:val="false"/>
          <w:i w:val="false"/>
          <w:iCs w:val="false"/>
          <w:color w:val="1A1A1A"/>
          <w:sz w:val="21"/>
          <w:szCs w:val="21"/>
        </w:rPr>
        <w:t xml:space="preserve">Een diagram-gebaseerde vraag volgt meestal deze opbouw: een klein fragment, een vraag over wat er gebeurt bij uitvoering of wat er structureel onjuist is, en vier of vijf antwoordopties waarvan er meerdere plausibel ogen. Een aanpak die in dit programma is geoefend (met name in deel 4 en deel 5):</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Lees eerst het hele fragment, niet alleen de vraag.</w:t>
      </w:r>
      <w:r>
        <w:rPr>
          <w:rFonts w:ascii="Calibri" w:cs="Calibri" w:eastAsia="Calibri" w:hAnsi="Calibri"/>
          <w:b w:val="false"/>
          <w:bCs w:val="false"/>
          <w:i w:val="false"/>
          <w:iCs w:val="false"/>
          <w:color w:val="1A1A1A"/>
          <w:sz w:val="21"/>
          <w:szCs w:val="21"/>
        </w:rPr>
        <w:t xml:space="preserve"> Een detail in een hoek van het diagram (een non-interrupting boundary event, een default flow) is vaak precies waar de vraag op leunt.</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Volg het token</w:t>
      </w:r>
      <w:r>
        <w:rPr>
          <w:rFonts w:ascii="Calibri" w:cs="Calibri" w:eastAsia="Calibri" w:hAnsi="Calibri"/>
          <w:b w:val="false"/>
          <w:bCs w:val="false"/>
          <w:i w:val="false"/>
          <w:iCs w:val="false"/>
          <w:color w:val="1A1A1A"/>
          <w:sz w:val="21"/>
          <w:szCs w:val="21"/>
        </w:rPr>
        <w:t xml:space="preserve"> als de vraag over gedrag gaat (deel 4, §4.7). Teken dit desnoods letterlijk na op kladpapier tijdens het examen — dat kost seconden en voorkomt aannames.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Controleer eerst structureel, dan pas semantisch.</w:t>
      </w:r>
      <w:r>
        <w:rPr>
          <w:rFonts w:ascii="Calibri" w:cs="Calibri" w:eastAsia="Calibri" w:hAnsi="Calibri"/>
          <w:b w:val="false"/>
          <w:bCs w:val="false"/>
          <w:i w:val="false"/>
          <w:iCs w:val="false"/>
          <w:color w:val="1A1A1A"/>
          <w:sz w:val="21"/>
          <w:szCs w:val="21"/>
        </w:rPr>
        <w:t xml:space="preserve"> Is het fragment volgens de notatie zelf geldig? Pas daarna: wat zou dit in de praktijk betekenen?</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Sluit antwoorden uit op basis van een enkel, hard criterium</w:t>
      </w:r>
      <w:r>
        <w:rPr>
          <w:rFonts w:ascii="Calibri" w:cs="Calibri" w:eastAsia="Calibri" w:hAnsi="Calibri"/>
          <w:b w:val="false"/>
          <w:bCs w:val="false"/>
          <w:i w:val="false"/>
          <w:iCs w:val="false"/>
          <w:color w:val="1A1A1A"/>
          <w:sz w:val="21"/>
          <w:szCs w:val="21"/>
        </w:rPr>
        <w:t xml:space="preserve"> voordat je tussen de overgebleven opties kiest op basis van nuance. Vaak zijn twee van de vier opties met één blik af te wijzen (bijvoorbeeld: een optie die een event subprocess beschrijft terwijl het fragment een boundary event toont).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10.3 De capstone: opzet</w:t>
      </w:r>
    </w:p>
    <w:p>
      <w:pPr>
        <w:spacing w:after="160" w:line="300"/>
        <w:jc w:val="left"/>
      </w:pPr>
      <w:r>
        <w:rPr>
          <w:rFonts w:ascii="Calibri" w:cs="Calibri" w:eastAsia="Calibri" w:hAnsi="Calibri"/>
          <w:b w:val="false"/>
          <w:bCs w:val="false"/>
          <w:i w:val="false"/>
          <w:iCs w:val="false"/>
          <w:color w:val="1A1A1A"/>
          <w:sz w:val="21"/>
          <w:szCs w:val="21"/>
        </w:rPr>
        <w:t xml:space="preserve">De capstone is de afsluitende opdracht van niveau 1: een nieuw, samenhangend domein bij Meridiaan, dat je van tekst naar volledig model brengt met gebruik van alle drie de talen. In tegenstelling tot de deeloefeningen in deel 3 tot en met 9, die telkens één taal of één koppelpunt isoleerden, vraagt de capstone om zelfstandig te bepalen welke delen van het domein bij welke taal horen — precies de vaardigheid uit deel 8.</w:t>
      </w:r>
    </w:p>
    <w:p>
      <w:pPr>
        <w:spacing w:after="160" w:line="300"/>
        <w:jc w:val="left"/>
      </w:pPr>
      <w:r>
        <w:rPr>
          <w:rFonts w:ascii="Calibri" w:cs="Calibri" w:eastAsia="Calibri" w:hAnsi="Calibri"/>
          <w:b/>
          <w:bCs/>
          <w:i w:val="false"/>
          <w:iCs w:val="false"/>
          <w:color w:val="1A1A1A"/>
          <w:sz w:val="21"/>
          <w:szCs w:val="21"/>
        </w:rPr>
        <w:t xml:space="preserve">Het domein: Vervroegde uittreding.</w:t>
      </w:r>
      <w:r>
        <w:rPr>
          <w:rFonts w:ascii="Calibri" w:cs="Calibri" w:eastAsia="Calibri" w:hAnsi="Calibri"/>
          <w:b w:val="false"/>
          <w:bCs w:val="false"/>
          <w:i w:val="false"/>
          <w:iCs w:val="false"/>
          <w:color w:val="1A1A1A"/>
          <w:sz w:val="21"/>
          <w:szCs w:val="21"/>
        </w:rPr>
        <w:t xml:space="preserve"> Een deelnemer kan verzoeken om eerder met pensioen te gaan dan de standaard AOW-gerelateerde leeftijd. De behandeling van zo'n verzoek combineert een vaste administratieve verwerking, een aantal rekenregels, en een deel dat sterk van geval tot geval verschilt afhankelijk van de persoonlijke situatie van de deelnemer (aanvullende inkomstenbronnen, gezondheidssituatie, samenloop met een lopende scheiding, et cetera).</w:t>
      </w:r>
    </w:p>
    <w:p>
      <w:pPr>
        <w:spacing w:after="160" w:line="300"/>
        <w:jc w:val="left"/>
      </w:pPr>
      <w:r>
        <w:rPr>
          <w:rFonts w:ascii="Calibri" w:cs="Calibri" w:eastAsia="Calibri" w:hAnsi="Calibri"/>
          <w:b w:val="false"/>
          <w:bCs w:val="false"/>
          <w:i w:val="false"/>
          <w:iCs w:val="false"/>
          <w:color w:val="1A1A1A"/>
          <w:sz w:val="21"/>
          <w:szCs w:val="21"/>
        </w:rPr>
        <w:t xml:space="preserve">De volledige domeinbeschrijving staat in het werkboek. Je levert op:</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Eén </w:t>
      </w:r>
      <w:r>
        <w:rPr>
          <w:rFonts w:ascii="Calibri" w:cs="Calibri" w:eastAsia="Calibri" w:hAnsi="Calibri"/>
          <w:b/>
          <w:bCs/>
          <w:i w:val="false"/>
          <w:iCs w:val="false"/>
          <w:color w:val="1A1A1A"/>
          <w:sz w:val="21"/>
          <w:szCs w:val="21"/>
        </w:rPr>
        <w:t xml:space="preserve">BPMN-model</w:t>
      </w:r>
      <w:r>
        <w:rPr>
          <w:rFonts w:ascii="Calibri" w:cs="Calibri" w:eastAsia="Calibri" w:hAnsi="Calibri"/>
          <w:b w:val="false"/>
          <w:bCs w:val="false"/>
          <w:i w:val="false"/>
          <w:iCs w:val="false"/>
          <w:color w:val="1A1A1A"/>
          <w:sz w:val="21"/>
          <w:szCs w:val="21"/>
        </w:rPr>
        <w:t xml:space="preserve"> voor het vaste administratieve traject.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Eén </w:t>
      </w:r>
      <w:r>
        <w:rPr>
          <w:rFonts w:ascii="Calibri" w:cs="Calibri" w:eastAsia="Calibri" w:hAnsi="Calibri"/>
          <w:b/>
          <w:bCs/>
          <w:i w:val="false"/>
          <w:iCs w:val="false"/>
          <w:color w:val="1A1A1A"/>
          <w:sz w:val="21"/>
          <w:szCs w:val="21"/>
        </w:rPr>
        <w:t xml:space="preserve">DMN-decision</w:t>
      </w:r>
      <w:r>
        <w:rPr>
          <w:rFonts w:ascii="Calibri" w:cs="Calibri" w:eastAsia="Calibri" w:hAnsi="Calibri"/>
          <w:b w:val="false"/>
          <w:bCs w:val="false"/>
          <w:i w:val="false"/>
          <w:iCs w:val="false"/>
          <w:color w:val="1A1A1A"/>
          <w:sz w:val="21"/>
          <w:szCs w:val="21"/>
        </w:rPr>
        <w:t xml:space="preserve"> (of een DRD met meerdere samenhangende decisions) voor de rekenregels.</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Eén </w:t>
      </w:r>
      <w:r>
        <w:rPr>
          <w:rFonts w:ascii="Calibri" w:cs="Calibri" w:eastAsia="Calibri" w:hAnsi="Calibri"/>
          <w:b/>
          <w:bCs/>
          <w:i w:val="false"/>
          <w:iCs w:val="false"/>
          <w:color w:val="1A1A1A"/>
          <w:sz w:val="21"/>
          <w:szCs w:val="21"/>
        </w:rPr>
        <w:t xml:space="preserve">CMMN-model</w:t>
      </w:r>
      <w:r>
        <w:rPr>
          <w:rFonts w:ascii="Calibri" w:cs="Calibri" w:eastAsia="Calibri" w:hAnsi="Calibri"/>
          <w:b w:val="false"/>
          <w:bCs w:val="false"/>
          <w:i w:val="false"/>
          <w:iCs w:val="false"/>
          <w:color w:val="1A1A1A"/>
          <w:sz w:val="21"/>
          <w:szCs w:val="21"/>
        </w:rPr>
        <w:t xml:space="preserve"> voor het deel dat kenniswerk vereist.</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De </w:t>
      </w:r>
      <w:r>
        <w:rPr>
          <w:rFonts w:ascii="Calibri" w:cs="Calibri" w:eastAsia="Calibri" w:hAnsi="Calibri"/>
          <w:b/>
          <w:bCs/>
          <w:i w:val="false"/>
          <w:iCs w:val="false"/>
          <w:color w:val="1A1A1A"/>
          <w:sz w:val="21"/>
          <w:szCs w:val="21"/>
        </w:rPr>
        <w:t xml:space="preserve">koppelpunten</w:t>
      </w:r>
      <w:r>
        <w:rPr>
          <w:rFonts w:ascii="Calibri" w:cs="Calibri" w:eastAsia="Calibri" w:hAnsi="Calibri"/>
          <w:b w:val="false"/>
          <w:bCs w:val="false"/>
          <w:i w:val="false"/>
          <w:iCs w:val="false"/>
          <w:color w:val="1A1A1A"/>
          <w:sz w:val="21"/>
          <w:szCs w:val="21"/>
        </w:rPr>
        <w:t xml:space="preserve"> tussen de drie, correct gemodelleerd (deel 8, §8.2).</w:t>
      </w:r>
    </w:p>
    <w:p>
      <w:pPr>
        <w:pStyle w:val="ListParagraph"/>
        <w:numPr>
          <w:ilvl w:val="0"/>
          <w:numId w:val="1"/>
        </w:numPr>
        <w:spacing w:after="100" w:line="290"/>
      </w:pPr>
      <w:r>
        <w:rPr>
          <w:rFonts w:ascii="Calibri" w:cs="Calibri" w:eastAsia="Calibri" w:hAnsi="Calibri"/>
          <w:b w:val="false"/>
          <w:bCs w:val="false"/>
          <w:i w:val="false"/>
          <w:iCs w:val="false"/>
          <w:color w:val="1A1A1A"/>
          <w:sz w:val="21"/>
          <w:szCs w:val="21"/>
        </w:rPr>
        <w:t xml:space="preserve">Een </w:t>
      </w:r>
      <w:r>
        <w:rPr>
          <w:rFonts w:ascii="Calibri" w:cs="Calibri" w:eastAsia="Calibri" w:hAnsi="Calibri"/>
          <w:b/>
          <w:bCs/>
          <w:i w:val="false"/>
          <w:iCs w:val="false"/>
          <w:color w:val="1A1A1A"/>
          <w:sz w:val="21"/>
          <w:szCs w:val="21"/>
        </w:rPr>
        <w:t xml:space="preserve">modelverantwoording</w:t>
      </w:r>
      <w:r>
        <w:rPr>
          <w:rFonts w:ascii="Calibri" w:cs="Calibri" w:eastAsia="Calibri" w:hAnsi="Calibri"/>
          <w:b w:val="false"/>
          <w:bCs w:val="false"/>
          <w:i w:val="false"/>
          <w:iCs w:val="false"/>
          <w:color w:val="1A1A1A"/>
          <w:sz w:val="21"/>
          <w:szCs w:val="21"/>
        </w:rPr>
        <w:t xml:space="preserve"> van maximaal twee pagina's: welke keuzes je maakte, waarom, en welke alternatieven je overwoog en verwierp.</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10.4 Beoordelingscriteria van de capstone</w:t>
      </w:r>
    </w:p>
    <w:p>
      <w:pPr>
        <w:spacing w:after="160" w:line="300"/>
        <w:jc w:val="left"/>
      </w:pPr>
      <w:r>
        <w:rPr>
          <w:rFonts w:ascii="Calibri" w:cs="Calibri" w:eastAsia="Calibri" w:hAnsi="Calibri"/>
          <w:b w:val="false"/>
          <w:bCs w:val="false"/>
          <w:i w:val="false"/>
          <w:iCs w:val="false"/>
          <w:color w:val="1A1A1A"/>
          <w:sz w:val="21"/>
          <w:szCs w:val="21"/>
        </w:rPr>
        <w:t xml:space="preserve">De capstone wordt beoordeeld op vier gebieden, in lijn met de cumulatieve rubrics uit deel 3 tot en met 9:</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Taalkeuze</w:t>
      </w:r>
      <w:r>
        <w:rPr>
          <w:rFonts w:ascii="Calibri" w:cs="Calibri" w:eastAsia="Calibri" w:hAnsi="Calibri"/>
          <w:b w:val="false"/>
          <w:bCs w:val="false"/>
          <w:i w:val="false"/>
          <w:iCs w:val="false"/>
          <w:color w:val="1A1A1A"/>
          <w:sz w:val="21"/>
          <w:szCs w:val="21"/>
        </w:rPr>
        <w:t xml:space="preserve"> — is de keuzeboom (deel 8, §8.1) correct toegepast op elk deel van het domein? Zit er ergens beslislogica verstopt in een gateway, of een vaste volgorde verstopt in een casemodel?</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Correctheid per taal</w:t>
      </w:r>
      <w:r>
        <w:rPr>
          <w:rFonts w:ascii="Calibri" w:cs="Calibri" w:eastAsia="Calibri" w:hAnsi="Calibri"/>
          <w:b w:val="false"/>
          <w:bCs w:val="false"/>
          <w:i w:val="false"/>
          <w:iCs w:val="false"/>
          <w:color w:val="1A1A1A"/>
          <w:sz w:val="21"/>
          <w:szCs w:val="21"/>
        </w:rPr>
        <w:t xml:space="preserve"> — voldoet elk model aan de structurele, semantische en stilistische eisen uit deel 5 (voor BPMN), deel 6 (voor DMN: volledigheid, consistentie, hit policy) en deel 7 (voor CMMN: functionele discretie, correcte sentries)?</w:t>
      </w:r>
    </w:p>
    <w:p>
      <w:pPr>
        <w:pStyle w:val="ListParagraph"/>
        <w:numPr>
          <w:ilvl w:val="0"/>
          <w:numId w:val="1"/>
        </w:numPr>
        <w:spacing w:after="100" w:line="290"/>
      </w:pPr>
      <w:r>
        <w:rPr>
          <w:rFonts w:ascii="Calibri" w:cs="Calibri" w:eastAsia="Calibri" w:hAnsi="Calibri"/>
          <w:b/>
          <w:bCs/>
          <w:i w:val="false"/>
          <w:iCs w:val="false"/>
          <w:color w:val="1A1A1A"/>
          <w:sz w:val="21"/>
          <w:szCs w:val="21"/>
        </w:rPr>
        <w:t xml:space="preserve">Koppeling</w:t>
      </w:r>
      <w:r>
        <w:rPr>
          <w:rFonts w:ascii="Calibri" w:cs="Calibri" w:eastAsia="Calibri" w:hAnsi="Calibri"/>
          <w:b w:val="false"/>
          <w:bCs w:val="false"/>
          <w:i w:val="false"/>
          <w:iCs w:val="false"/>
          <w:color w:val="1A1A1A"/>
          <w:sz w:val="21"/>
          <w:szCs w:val="21"/>
        </w:rPr>
        <w:t xml:space="preserve"> — zijn de koppelpunten tussen de drie modellen correct en is de motivatie ervoor overtuigend?</w:t>
      </w:r>
    </w:p>
    <w:tbl>
      <w:tblPr>
        <w:tblW w:type="pct" w:w="100%"/>
        <w:tblBorders>
          <w:top w:val="single" w:color="E9A13B" w:sz="4"/>
          <w:left w:val="single" w:color="E9A13B" w:sz="24"/>
          <w:bottom w:val="single" w:color="E9A13B" w:sz="4"/>
          <w:right w:val="single" w:color="E9A13B" w:sz="4"/>
          <w:insideH w:val="single" w:color="auto" w:sz="4"/>
          <w:insideV w:val="single" w:color="auto" w:sz="4"/>
        </w:tblBorders>
      </w:tblPr>
      <w:tblGrid>
        <w:gridCol w:w="100"/>
      </w:tblGrid>
      <w:tr>
        <w:tc>
          <w:tcPr>
            <w:shd w:fill="EEF1F6" w:color="auto" w:val="clear"/>
            <w:tcMar>
              <w:top w:type="dxa" w:w="160"/>
              <w:left w:type="dxa" w:w="220"/>
              <w:bottom w:type="dxa" w:w="160"/>
              <w:right w:type="dxa" w:w="220"/>
            </w:tcMar>
          </w:tcPr>
          <w:p>
            <w:pPr>
              <w:spacing w:after="80" w:line="290"/>
            </w:pPr>
            <w:r>
              <w:rPr>
                <w:rFonts w:ascii="Calibri" w:cs="Calibri" w:eastAsia="Calibri" w:hAnsi="Calibri"/>
                <w:b/>
                <w:bCs/>
                <w:i/>
                <w:iCs/>
                <w:color w:val="14213D"/>
                <w:sz w:val="20"/>
                <w:szCs w:val="20"/>
              </w:rPr>
              <w:t xml:space="preserve">Verantwoording: </w:t>
            </w:r>
            <w:r>
              <w:rPr>
                <w:rFonts w:ascii="Calibri" w:cs="Calibri" w:eastAsia="Calibri" w:hAnsi="Calibri"/>
                <w:b w:val="false"/>
                <w:bCs w:val="false"/>
                <w:i/>
                <w:iCs/>
                <w:color w:val="14213D"/>
                <w:sz w:val="20"/>
                <w:szCs w:val="20"/>
              </w:rPr>
              <w:t xml:space="preserve">— laat het document zien dat alternatieven bewust zijn overwogen en verworpen, niet alleen dat er één pad is gevolgd?</w:t>
            </w:r>
          </w:p>
        </w:tc>
      </w:tr>
    </w:tbl>
    <w:p>
      <w:pPr>
        <w:spacing w:after="160" w:line="300"/>
        <w:jc w:val="left"/>
      </w:pPr>
      <w:r>
        <w:rPr>
          <w:rFonts w:ascii="Calibri" w:cs="Calibri" w:eastAsia="Calibri" w:hAnsi="Calibri"/>
          <w:b w:val="false"/>
          <w:bCs w:val="false"/>
          <w:i w:val="false"/>
          <w:iCs w:val="false"/>
          <w:color w:val="1A1A1A"/>
          <w:sz w:val="21"/>
          <w:szCs w:val="21"/>
        </w:rPr>
        <w:t xml:space="preserve">Dit is dezelfde soort beoordeling als in elk voorgaand deel, nu toegepast op een domein dat je zelfstandig moet ontleden in plaats van dat de opdracht het al voor je heeft opgesplitst.</w:t>
      </w:r>
    </w:p>
    <w:p>
      <w:r>
        <w:br w:type="page"/>
      </w:r>
    </w:p>
    <w:p>
      <w:pPr>
        <w:pStyle w:val="Heading2"/>
        <w:pBdr>
          <w:bottom w:val="single" w:color="2563A8" w:sz="6" w:space="4"/>
        </w:pBdr>
        <w:spacing w:after="160" w:before="300"/>
      </w:pPr>
      <w:r>
        <w:rPr>
          <w:rFonts w:ascii="Calibri" w:cs="Calibri" w:eastAsia="Calibri" w:hAnsi="Calibri"/>
          <w:b/>
          <w:bCs/>
          <w:color w:val="2563A8"/>
          <w:sz w:val="24"/>
          <w:szCs w:val="24"/>
        </w:rPr>
        <w:t xml:space="preserve">10.5 Na de capstone</w:t>
      </w:r>
    </w:p>
    <w:p>
      <w:pPr>
        <w:spacing w:after="160" w:line="300"/>
        <w:jc w:val="left"/>
      </w:pPr>
      <w:r>
        <w:rPr>
          <w:rFonts w:ascii="Calibri" w:cs="Calibri" w:eastAsia="Calibri" w:hAnsi="Calibri"/>
          <w:b w:val="false"/>
          <w:bCs w:val="false"/>
          <w:i w:val="false"/>
          <w:iCs w:val="false"/>
          <w:color w:val="1A1A1A"/>
          <w:sz w:val="21"/>
          <w:szCs w:val="21"/>
        </w:rPr>
        <w:t xml:space="preserve">Niveau 1 sluit hiermee af. Niveau 2 (Praktijk, deel 11 tot en met 21) bouwt hierop voort met een andere ambitie: waar niveau 1 vroeg "kun je correct modelleren volgens de regels", vraagt niveau 2 "kun je een opdrachtgever een bruikbaar, onderhoudbaar geheel opleveren". De modelleerrichtlijn (deel 11), de diepere DMN- en CMMN-stof (deel 15, deel 17) en uitvoerbaarheid (deel 19) bouwen direct voort op wat in dit niveau is gelegd.</w:t>
      </w:r>
    </w:p>
    <w:p>
      <w:pPr>
        <w:spacing w:after="160" w:line="300"/>
        <w:jc w:val="left"/>
      </w:pPr>
      <w:r>
        <w:rPr>
          <w:rFonts w:ascii="Calibri" w:cs="Calibri" w:eastAsia="Calibri" w:hAnsi="Calibri"/>
          <w:b w:val="false"/>
          <w:bCs w:val="false"/>
          <w:i w:val="false"/>
          <w:iCs w:val="false"/>
          <w:color w:val="1A1A1A"/>
          <w:sz w:val="21"/>
          <w:szCs w:val="21"/>
        </w:rPr>
        <w:t xml:space="preserve">De modellen die je in de capstone hebt gemaakt, zijn niet weggegooid werk: de casus Meridiaan loopt door in niveau 2, met dezelfde organisatie maar complexere vraagstukken. Bewaar je capstone-oplevering als referentiepunt.</w:t>
      </w:r>
    </w:p>
    <w:p>
      <w:pPr>
        <w:pStyle w:val="Heading2"/>
        <w:pBdr>
          <w:bottom w:val="single" w:color="2563A8" w:sz="6" w:space="4"/>
        </w:pBdr>
        <w:spacing w:after="160" w:before="300"/>
      </w:pPr>
      <w:r>
        <w:rPr>
          <w:rFonts w:ascii="Calibri" w:cs="Calibri" w:eastAsia="Calibri" w:hAnsi="Calibri"/>
          <w:b/>
          <w:bCs/>
          <w:color w:val="2563A8"/>
          <w:sz w:val="24"/>
          <w:szCs w:val="24"/>
        </w:rPr>
        <w:t xml:space="preserve">Examenrelevantie</w:t>
      </w:r>
    </w:p>
    <w:p>
      <w:pPr>
        <w:spacing w:after="160" w:line="300"/>
        <w:jc w:val="left"/>
      </w:pPr>
      <w:r>
        <w:rPr>
          <w:rFonts w:ascii="Calibri" w:cs="Calibri" w:eastAsia="Calibri" w:hAnsi="Calibri"/>
          <w:b w:val="false"/>
          <w:bCs w:val="false"/>
          <w:i w:val="false"/>
          <w:iCs w:val="false"/>
          <w:color w:val="1A1A1A"/>
          <w:sz w:val="21"/>
          <w:szCs w:val="21"/>
        </w:rPr>
        <w:t xml:space="preserve">Dit hele deel is examenvoorbereiding. Zie §10.1 voor de blauwdruk en §10.2 voor de aanpak van diagram-vragen.</w:t>
      </w:r>
    </w:p>
    <w:p>
      <w:pPr>
        <w:pStyle w:val="Heading2"/>
        <w:pBdr>
          <w:bottom w:val="single" w:color="2563A8" w:sz="6" w:space="4"/>
        </w:pBdr>
        <w:spacing w:after="160" w:before="300"/>
      </w:pPr>
      <w:r>
        <w:rPr>
          <w:rFonts w:ascii="Calibri" w:cs="Calibri" w:eastAsia="Calibri" w:hAnsi="Calibri"/>
          <w:b/>
          <w:bCs/>
          <w:color w:val="2563A8"/>
          <w:sz w:val="24"/>
          <w:szCs w:val="24"/>
        </w:rPr>
        <w:t xml:space="preserve">Leeswijzer</w:t>
      </w:r>
    </w:p>
    <w:p>
      <w:pPr>
        <w:spacing w:after="160" w:line="300"/>
        <w:jc w:val="left"/>
      </w:pPr>
      <w:r>
        <w:rPr>
          <w:rFonts w:ascii="Calibri" w:cs="Calibri" w:eastAsia="Calibri" w:hAnsi="Calibri"/>
          <w:b w:val="false"/>
          <w:bCs w:val="false"/>
          <w:i w:val="false"/>
          <w:iCs w:val="false"/>
          <w:color w:val="1A1A1A"/>
          <w:sz w:val="21"/>
          <w:szCs w:val="21"/>
        </w:rPr>
        <w:t xml:space="preserve">Raadpleeg voorafgaand aan daadwerkelijke inschrijving voor het OCEB 2 Fundamental-examen de actuele blauwdruk en het actuele aantal vragen op de officiële OMG-website — deze kunnen sinds het opstellen van dit materiaal zijn bijgesteld.</w:t>
      </w:r>
    </w:p>
    <w:sectPr>
      <w:headerReference w:type="default" r:id="rId7"/>
      <w:footerReference w:type="default" r:id="rId8"/>
      <w:pgSz w:w="11906" w:h="16838" w:orient="portrait"/>
      <w:pgMar w:top="1100" w:right="1100" w:bottom="11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BPMN, CMMN &amp; DMN — </w:t>
    </w:r>
    <w:r>
      <w:rPr>
        <w:rFonts w:ascii="Calibri" w:cs="Calibri" w:eastAsia="Calibri" w:hAnsi="Calibri"/>
        <w:color w:val="6B7280"/>
        <w:sz w:val="15"/>
        <w:szCs w:val="15"/>
      </w:rPr>
      <w:t xml:space="preserve">pagina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Deel 10 · Reader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2026-08-17T15:51:42.693Z</dcterms:created>
  <dcterms:modified xsi:type="dcterms:W3CDTF">2026-08-17T15:51:42.694Z</dcterms:modified>
</cp:coreProperties>
</file>

<file path=docProps/custom.xml><?xml version="1.0" encoding="utf-8"?>
<Properties xmlns="http://schemas.openxmlformats.org/officeDocument/2006/custom-properties" xmlns:vt="http://schemas.openxmlformats.org/officeDocument/2006/docPropsVTypes"/>
</file>