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2563A8"/>
          <w:sz w:val="20"/>
          <w:szCs w:val="20"/>
        </w:rPr>
        <w:t xml:space="preserve">BPMN, CMMN &amp; DMN</w:t>
      </w:r>
    </w:p>
    <w:p>
      <w:pPr>
        <w:spacing w:after="40"/>
      </w:pPr>
      <w:r>
        <w:rPr>
          <w:rFonts w:ascii="Calibri" w:cs="Calibri" w:eastAsia="Calibri" w:hAnsi="Calibri"/>
          <w:color w:val="6B7280"/>
          <w:sz w:val="22"/>
          <w:szCs w:val="22"/>
        </w:rPr>
        <w:t xml:space="preserve">Niveau 2 — Praktijk · Deel 12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213D"/>
          <w:sz w:val="32"/>
          <w:szCs w:val="32"/>
        </w:rPr>
        <w:t xml:space="preserve">Docentenhandleiding — Procesanalyse en -ontwerp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Doel en positie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Waar deel 11 de architectuur en de spelregels neerzette, gaat dit deel over het daadwerkelijke handwerk van een consultant: erachter komen wat er werkelijk gebeurt, en van daaruit een beter proces ontwerpen. Het is het meest "consultancy-vaardigheid"-gerichte deel van niveau 2 tot nu toe — minder notatie, meer oordeelsvorming.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Kernboodschap om er doorheen te laten lopen: elke techniek en elk principe in dit deel heeft een prijs. Een deelnemer die alleen de voordelen benoemt (van een discovery-techniek, van een ontwerpprincipe) heeft de stof half begrepen. Toets dit voortdurend door te vragen: "en wat kost dat?"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Tijdschema (dagdeel van 4 uur)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Tijd</w:t>
            </w:r>
          </w:p>
        </w:tc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Onderdeel</w:t>
            </w:r>
          </w:p>
        </w:tc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Werkvorm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0:00 – 0:10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Terugblik deel 11, programma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Plenair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0:10 – 0:30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Discovery-technieken (§12.1)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Presentatie, figuur 12.1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0:30 – 0:50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1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Individueel, plenair nabespreken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0:50 – 1:20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Event storming (§12.2)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Presentatie, figuur 12.2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1:20 – 1:35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Pauze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1:35 – 2:00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2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2:00 – 2:35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3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Tweetallen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2:35 – 2:50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As-is of niet (§12.3)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Presentatie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2:50 – 3:05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Pauze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3:05 – 3:20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Opdracht 4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Individueel, kort klassikaal bespreken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3:20 – 3:40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Knelpuntanalyse (§12.4), VSM (§12.5) — opdracht 5 kort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Presentatie + individueel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3:40 – 4:00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Ontwerpprincipes (§12.6), opdracht 6 starten, vooruitblik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Presentatie + start deliverable</w:t>
            </w:r>
          </w:p>
        </w:tc>
      </w:tr>
    </w:tbl>
    <w:p>
      <w:pPr>
        <w:spacing w:before="200"/>
      </w:pP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Opdracht 6 is de kerndeliverable en loopt door na het dagdeel — net als opdracht 3 in deel 11. Geef een duidelijke inleverdatum en, indien mogelijk, een kort moment voor vragen voordat deelnemers zelfstandig verder werken.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Uitwerkingen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1 — Kies de techniek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Techniek</w:t>
            </w:r>
          </w:p>
        </w:tc>
        <w:tc>
          <w:tcPr>
            <w:tcW w:type="dxa" w:w="300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Blinde vlek die je accepteert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Workshops + documentanalyse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Workshops: de mening van de luidste stem; documentanalyse toont geen praktijk.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Observatie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Kost tijd; toont alleen het geobserveerde moment, niet elke variant.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Workshop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Snelheid ten koste van diepgang; individuele nuance gaat verloren.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Interview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Tijdrovend per persoon; het verhaal van één medewerker is niet per se representatief.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Systeemanalyse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Toont wat het systeem toestaat/registreert, niet de intentie erachter.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Interviews (individueel, niet workshop)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Kost meer tijd; jij moet de tegenstrijdige verhalen zelf verzoenen.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Systeemanalyse</w:t>
            </w:r>
          </w:p>
        </w:tc>
        <w:tc>
          <w:tcPr>
            <w:tcW w:type="dxa" w:w="300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Zegt niets over wat medewerkers ermee proberen te doen.</w:t>
            </w:r>
          </w:p>
        </w:tc>
      </w:tr>
      <w:tr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Documentanalyse + korte workshop</w:t>
            </w:r>
          </w:p>
        </w:tc>
        <w:tc>
          <w:tcPr>
            <w:tcW w:type="dxa" w:w="300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Documentanalyse toont het bedoelde proces, niet het uitgevoerde.</w:t>
            </w:r>
          </w:p>
        </w:tc>
      </w:tr>
    </w:tbl>
    <w:p>
      <w:pPr>
        <w:spacing w:before="200"/>
      </w:pP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Bespreekpunt.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Situatie 6 (uiteenlopende belangen) wordt vaak fout beantwoord met "workshop", omdat dat de meest voor de hand liggende reflex is. Leg uit waarom een workshop met tegengestelde belangen juist een polarisatierisico heeft — individuele interviews geven ruimte voor eerlijkere antwoorden, met als prijs dat jij de synthese moet maken.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2 — Event storming voorbereiden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Geen uniek antwoord. Verwacht in een goede uitwerking: minstens vier verschillende rollen (niet alleen leidinggevenden — expliciet ook de uitvoerende medewerkers van Werkgevermutaties), een tijdsindeling die ruimte laat voor chaotic exploration vóór ordening, en een concrete opbrengst (bijvoorbeeld: een geordende event-tijdlijn plus een lijst gemarkeerde pijnpunten, niet al een kant-en-klaar BPMN-model — dat is de volgende stap, opdracht 3).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Veelgemaakte fout.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Deelnemers plannen soms alleen leidinggevenden uit voor de sessie, met als argument "zij kennen het hele proces". Corrigeer dit expliciet — leidinggevenden kennen vaak het bedoelde proces, niet de dagelijkse praktijk met alle workarounds.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3 — Van sticky notes naar BPMN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Geen uniek modelantwoord. Beoordeel vooral de documentatie van de drie beslissingen — dit is waar de eigenlijke leeropbrengst zit. Een deelnemer die een net BPMN-model aflevert zonder de impliciete keuzes te benoemen, heeft de vertaalslag onderschat als "gewoon overtekenen".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4 — As-is beslissing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Verwacht, afhankelijk van de gekozen drie afdelingen: Deelnemermutaties en Werkgevermutaties (hoog-volume, gestandaardiseerd) lenen zich vaker voor het overslaan van as-is als het doel puur is "sneller maken" — mits er al voldoende systeemdata is voor een nulmeting via andere weg. Klachten &amp; Bezwaren en Bijzondere Situaties (dossiergedreven) lenen zich vaker voor wél as-is modelleren, juist omdat verborgen varianten hier waarschijnlijker zijn en de impact van het missen ervan groter.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Beoordeel niet de uitkomst maar de onderbouwing.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Een advies "geen as-is nodig" kan voor Klachten &amp; Bezwaren best verdedigbaar zijn als de deelnemer een concreet alternatief voor de nulmeting biedt (bijvoorbeeld: bestaande klachtcijfers uit een ander systeem). Omgekeerd is "altijd as-is" voor elke afdeling een teken dat de afweging niet gemaakt is.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5 — Knelpuntanalyse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Afhankelijk van de aangeleverde tabel; verwacht dat de bottleneck meestal in een overdracht tussen twee rollen of systemen zit, niet in de bewerkingstijd van een enkele stap zelf — dat is het patroon dat §12.4 beoogt te laten ontdekken. Beoordeel expliciet of de deelnemer het onderscheid tussen bewerkingstijd en wachttijd heeft gemaakt.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6 — To-be ontwerp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Geen modelantwoord. Beoordeel op: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Zijn minstens drie principes </w:t>
      </w: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aantoonbaar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toegepast (zichtbaar in het model, niet alleen genoemd in tekst)?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Is bij elk principe de prijs benoemd, niet alleen de winst?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Is de spanning tussen twee principes (bijvoorbeeld first-time-right versus overdrachten minimaliseren) expliciet opgelost, met een zichtbare keuze in het model?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Veelgemaakte fout.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Deelnemers passen "uitzonderingen scheiden van de hoofdstroom" vaak toe zonder de keuzeboom uit niveau 1, deel 8 opnieuw te overwegen — een uitzonderingspad wordt zomaar in BPMN gemodelleerd terwijl het qua aard eigenlijk een CMMN-casemodel zou moeten worden. Dit is een goed coachingsmoment: vraag door.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Opdracht 7 — Stellingen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Genuanceerder te beantwoorden dan in niveau 1: koppel expliciet aan de drie situaties uit §12.3 (migratie, nulmeting, verborgen uitzonderingen) in plaats van een generiek "ja" of "nee".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Verdedigbaar in beide richtingen — een goede gelegenheid om te benoemen dat combinatie vaak sterker is dan het kiezen van één techniek (§12.1, slotzin).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Breed gedragen, sluit aan bij §12.4's boodschap over werken met onvolledige data.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Sterk verdedigbaar en de kern van §12.6 — laat deelnemers een concreet voorbeeld uit hun eigen opdracht 6 aandragen.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Veelgemaakte fouten in dit deel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Discovery-technieken kiezen zonder de blinde vlek te benoemen.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Elke techniek heeft er een; het benoemen ervan is een teken van volwassen oordeelsvorming, niet een formaliteit.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Event storming behandelen als een mechanische stap naar BPMN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in plaats van als een eigen ontwerpactiviteit die keuzes vergt (zie opdracht 3).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As-is als binair vraagstuk zien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("wel of niet") in plaats van als een afweging die per situatie anders uitvalt, zoals opdracht 4 beoogt te tonen.</w:t>
      </w:r>
    </w:p>
    <w:p>
      <w:pPr>
        <w:pStyle w:val="ListParagraph"/>
        <w:numPr>
          <w:ilvl w:val="0"/>
          <w:numId w:val="1"/>
        </w:numPr>
        <w:spacing w:after="100" w:line="290"/>
      </w:pPr>
      <w:r>
        <w:rPr>
          <w:rFonts w:ascii="Calibri" w:cs="Calibri" w:eastAsia="Calibri" w:hAnsi="Calibri"/>
          <w:b/>
          <w:bCs/>
          <w:i w:val="false"/>
          <w:iCs w:val="false"/>
          <w:color w:val="1A1A1A"/>
          <w:sz w:val="21"/>
          <w:szCs w:val="21"/>
        </w:rPr>
        <w:t xml:space="preserve">Ontwerpprincipes toepassen zonder de prijs te benoemen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 — het belangrijkste beoordelingscriterium van opdracht 6.</w:t>
      </w: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Beoordelingsrubric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Criterium</w:t>
            </w:r>
          </w:p>
        </w:tc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Onvoldoende</w:t>
            </w:r>
          </w:p>
        </w:tc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Voldoende</w:t>
            </w:r>
          </w:p>
        </w:tc>
        <w:tc>
          <w:tcPr>
            <w:tcW w:type="dxa" w:w="2250"/>
            <w:shd w:fill="14213D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Goed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Discovery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Kiest één techniek zonder motivatie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Kiest passend, benoemt beperkt de beperking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Kiest passend, benoemt expliciet de blinde vlek die geaccepteerd wordt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Event storming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Sessieopzet onvolledig of eenzijdige rolverdeling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Volledige opzet met gevarieerde rollen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Opzet met heldere opbrengst en aansluiting op de vertaalslag naar BPMN</w:t>
            </w:r>
          </w:p>
        </w:tc>
      </w:tr>
      <w:tr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As-is beslissing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Generiek advies zonder situatiespecifieke onderbouwing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Onderbouwd advies per afdeling</w:t>
            </w:r>
          </w:p>
        </w:tc>
        <w:tc>
          <w:tcPr>
            <w:tcW w:type="dxa" w:w="2250"/>
            <w:shd w:fill="FFFFFF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Onderbouwd advies met concreet alternatief waar as-is wordt overgeslagen</w:t>
            </w:r>
          </w:p>
        </w:tc>
      </w:tr>
      <w:tr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To-be ontwerp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Principes genoemd maar niet zichtbaar toegepast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Principes zichtbaar toegepast, prijs beperkt benoemd</w:t>
            </w:r>
          </w:p>
        </w:tc>
        <w:tc>
          <w:tcPr>
            <w:tcW w:type="dxa" w:w="2250"/>
            <w:shd w:fill="EEF1F6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19"/>
                <w:szCs w:val="19"/>
              </w:rPr>
              <w:t xml:space="preserve">Principes zichtbaar toegepast, prijs expliciet, spanning tussen principes opgelost</w:t>
            </w:r>
          </w:p>
        </w:tc>
      </w:tr>
    </w:tbl>
    <w:p>
      <w:pPr>
        <w:spacing w:before="200"/>
      </w:pPr>
    </w:p>
    <w:p>
      <w:pPr>
        <w:pStyle w:val="Heading2"/>
        <w:pBdr>
          <w:bottom w:val="single" w:color="2563A8" w:sz="6" w:space="4"/>
        </w:pBdr>
        <w:spacing w:after="160" w:before="300"/>
      </w:pPr>
      <w:r>
        <w:rPr>
          <w:rFonts w:ascii="Calibri" w:cs="Calibri" w:eastAsia="Calibri" w:hAnsi="Calibri"/>
          <w:b/>
          <w:bCs/>
          <w:color w:val="2563A8"/>
          <w:sz w:val="24"/>
          <w:szCs w:val="24"/>
        </w:rPr>
        <w:t xml:space="preserve">Benodigdheden</w:t>
      </w:r>
    </w:p>
    <w:p>
      <w:pPr>
        <w:spacing w:after="160" w:line="3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1A1A"/>
          <w:sz w:val="21"/>
          <w:szCs w:val="21"/>
        </w:rPr>
        <w:t xml:space="preserve">Werkboek per deelnemer, toegang tot Conductus voor opdracht 3 en 6, de event storming-opbrengst voor opdracht 3 als uitgereikt document, de volumetabel voor opdracht 5 als uitgereikt document, materiaal voor een fysieke of digitale event storming-simulatie indien de docent dit wil demonstreren.</w:t>
      </w:r>
    </w:p>
    <w:sectPr>
      <w:headerReference w:type="default" r:id="rId7"/>
      <w:footerReference w:type="default" r:id="rId8"/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5"/>
        <w:szCs w:val="15"/>
      </w:rPr>
      <w:t xml:space="preserve">BPMN, CMMN &amp; DMN — </w:t>
    </w:r>
    <w:r>
      <w:rPr>
        <w:rFonts w:ascii="Calibri" w:cs="Calibri" w:eastAsia="Calibri" w:hAnsi="Calibri"/>
        <w:color w:val="6B7280"/>
        <w:sz w:val="15"/>
        <w:szCs w:val="15"/>
      </w:rPr>
      <w:t xml:space="preserve">pagina </w:t>
    </w:r>
    <w:r>
      <w:rPr>
        <w:rFonts w:ascii="Calibri" w:cs="Calibri" w:eastAsia="Calibri" w:hAnsi="Calibri"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7280"/>
        <w:sz w:val="16"/>
        <w:szCs w:val="16"/>
      </w:rPr>
      <w:t xml:space="preserve">Deel 12 · Docentenhandleiding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2026-08-17T15:51:44.917Z</dcterms:created>
  <dcterms:modified xsi:type="dcterms:W3CDTF">2026-08-17T15:51:44.918Z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