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13</w:t>
      </w:r>
    </w:p>
    <w:p>
      <w:pPr>
        <w:spacing w:after="300"/>
      </w:pPr>
      <w:r>
        <w:rPr>
          <w:rFonts w:ascii="Calibri" w:cs="Calibri" w:eastAsia="Calibri" w:hAnsi="Calibri"/>
          <w:b/>
          <w:bCs/>
          <w:color w:val="14213D"/>
          <w:sz w:val="32"/>
          <w:szCs w:val="32"/>
        </w:rPr>
        <w:t xml:space="preserve">Docentenhandleiding — BPMN gevorderd I: samenwerking en uitzonderingen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Waar niveau 1, deel 4 de analytic subclass als notatie behandelde, behandelt dit deel dezelfde elementen als ontwerpkeuze. Bewaak dat onderscheid actief: als een deelnemer een error event correct kan tekenen maar niet kan uitleggen waarom het hier een error is en geen escalation, is de kern van dit deel gemist. Stel bij elke opdracht de vraag "waarom deze keuze, en niet de andere" net zo vaak als "is dit correct getekend".</w:t>
      </w:r>
    </w:p>
    <w:p>
      <w:pPr>
        <w:spacing w:after="160" w:line="300"/>
        <w:jc w:val="left"/>
      </w:pPr>
      <w:r>
        <w:rPr>
          <w:rFonts w:ascii="Calibri" w:cs="Calibri" w:eastAsia="Calibri" w:hAnsi="Calibri"/>
          <w:b w:val="false"/>
          <w:bCs w:val="false"/>
          <w:i w:val="false"/>
          <w:iCs w:val="false"/>
          <w:color w:val="1A1A1A"/>
          <w:sz w:val="21"/>
          <w:szCs w:val="21"/>
        </w:rPr>
        <w:t xml:space="preserve">Tweede aandachtspunt: correlatie (§13.3) wordt door business-georiënteerde deelnemers vaak als "te technisch" weggezet. Weersta die framing vanaf het begin — het voorbeeld in de reader (een dossier dat een al binnengekomen bevestiging nooit koppelt) is bewust een businessgevolg, geen technisch detail.</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12,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 diagramtypen (§13.1)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13.1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Meerdere pools in de praktijk (§13.2)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1:05 – 1:20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1:20 – 1:45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Correlatie (§13.3)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13.2, casusfragment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1:45 – 2:25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2:25 – 2:40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Foutafhandeling ontworpen (§13.4)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13.3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2:40 – 2:55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2:55 – 3:15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klassikaal enkele situaties bespreken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3:15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Transacties en compensatie (§13.5) — opdracht 4 starten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start deliverable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3:35 – 4:00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Leesbaar houden (§13.6), opdracht 5 (indien tijd), vooruitblik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tweetallen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Bij tijdsdruk: opdracht 5 kan als huiswerk. Opdracht 4 mag deels doorlopen na het dagdeel — geef een duidelijke inleverdatum.</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Kies het diagramtype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Waarom niet de andere twee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Choreography</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Collaboration zou (een deel van) het interne proces suggereren te tonen; conversation is te abstract voor een specificatie.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Conversation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Collaboration is te gedetailleerd voor een eerste overzicht; choreography vereist al kennis van de precieze berichtvolgorde.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Collaboration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Choreography toont geen intern proces; conversation is te abstract.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Choreography</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Precies het zuivere geval waar deze notatie voor bedoeld is — het onderwerp is de berichtuitwisseling zelf.</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Conversation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Collaboration en choreography zijn beide te gedetailleerd voor een stuurgroeppresentatie van twee minuten.</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Situatie 1 en 4 zijn de enige twee waar choreography het juiste antwoord is — bewust schaars gehouden, in lijn met §13.1's boodschap dat je dit diagramtype zelden nodig hebt. Laat deelnemers zelf constateren dat vier van de vijf situaties niet om choreography vragen.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Ketenmodel</w:t>
      </w:r>
    </w:p>
    <w:p>
      <w:pPr>
        <w:spacing w:after="160" w:line="300"/>
        <w:jc w:val="left"/>
      </w:pPr>
      <w:r>
        <w:rPr>
          <w:rFonts w:ascii="Calibri" w:cs="Calibri" w:eastAsia="Calibri" w:hAnsi="Calibri"/>
          <w:b w:val="false"/>
          <w:bCs w:val="false"/>
          <w:i w:val="false"/>
          <w:iCs w:val="false"/>
          <w:color w:val="1A1A1A"/>
          <w:sz w:val="21"/>
          <w:szCs w:val="21"/>
        </w:rPr>
        <w:t xml:space="preserve">Referentiemodel beschikbaar als BPMN-XML voor import. Controleer: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tweede pool daadwerkelijk collapsed (geen verzonnen intern proces van de ketenpartner)?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correlatiesleutel concreet benoemd (niet alleen "een uniek kenmerk" maar de daadwerkelijke combinatie van velden)?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motivatie voor de sleutelkeuze inhoudelijk — waarom is déze combinatie uniek genoeg, en wat zou er misgaan met een zwakkere sleutel?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Fout of businessuitkomst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Wie wordt geïnformeerd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Error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Technisch beheerteam</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Escalation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Teamleider/proceseigenaar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Error (technisch) — maar zie bespreekpunt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Technisch beheerteam, mogelijk ook de business rule-eigenaar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Escalation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Proceseigenaar Klachten &amp; Bezwaren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Error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Technisch beheerteam (correlatieprobleem)</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Escalation (handmatig gemarkeerd)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Teamleider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van beide — dit is een reguliere validatie binnen de happy path, geen uitzondering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Niemand — dit hoort in het hoofdpad</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8</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Escalation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Teamleider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9</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Error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Technisch beheerteam</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Dossierwerk / CMMN-signaal, geen BPMN-event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Behandelaar (via casemodel, niet via event)</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Situatie 3 is met opzet dubbelzinnig: een DMN-decision die faalt door een ontbrekende inputwaarde kan een technische fout zijn (het proces leverde de verkeerde data) óf een teken dat de beslistabel niet volledig is (niveau 1, deel 6, §6.5) — in het laatste geval is de "fout" eigenlijk een modelleergebrek dat aan het licht komt, geen operationele storing. Laat deelnemers beide interpretaties benoemen.</w:t>
      </w:r>
    </w:p>
    <w:p>
      <w:pPr>
        <w:spacing w:after="160" w:line="300"/>
        <w:jc w:val="left"/>
      </w:pPr>
      <w:r>
        <w:rPr>
          <w:rFonts w:ascii="Calibri" w:cs="Calibri" w:eastAsia="Calibri" w:hAnsi="Calibri"/>
          <w:b w:val="false"/>
          <w:bCs w:val="false"/>
          <w:i w:val="false"/>
          <w:iCs w:val="false"/>
          <w:color w:val="1A1A1A"/>
          <w:sz w:val="21"/>
          <w:szCs w:val="21"/>
        </w:rPr>
        <w:t xml:space="preserve">Situatie 7 en 10 zijn afleiders: 7 hoort helemaal niet in dit rijtje thuis (het is normale validatie, geen uitzondering — een leermoment op zich), en 10 is een signaal dat teruggrijpt naar niveau 1, deel 8: dit soort samenloop hoort eerder in een casemodel dan als BPMN-event te worden afgehandeld.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Compensatie ontwerpen</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Kernpunt van beoordeling: de compensatiehandeling voor de verstuurde brief moet een concrete, businessmatige handeling zijn — bijvoorbeeld het versturen van een corrigerende brief met uitleg, niet een technische "undo". Beoordeel of de deelnemer expliciet het onderscheid maakt tussen makkelijk compenseerbare stappen (interne statuswijzigingen, systeemvelden) en stappen die alleen benaderend te compenseren zijn (externe communicatie).</w:t>
      </w: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Deelnemers modelleren compensatie soms als het simpelweg "terugzetten" van elke stap, zonder na te denken over wat dat voor een reeds verstuurde brief betekent. Dit is precies de denkfout die §13.5 beoogt te corrigeren.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Herontwerp voor leesbaarheid</w:t>
      </w:r>
    </w:p>
    <w:p>
      <w:pPr>
        <w:spacing w:after="160" w:line="300"/>
        <w:jc w:val="left"/>
      </w:pPr>
      <w:r>
        <w:rPr>
          <w:rFonts w:ascii="Calibri" w:cs="Calibri" w:eastAsia="Calibri" w:hAnsi="Calibri"/>
          <w:b w:val="false"/>
          <w:bCs w:val="false"/>
          <w:i w:val="false"/>
          <w:iCs w:val="false"/>
          <w:color w:val="1A1A1A"/>
          <w:sz w:val="21"/>
          <w:szCs w:val="21"/>
        </w:rPr>
        <w:t xml:space="preserve">Geen uniek antwoord. Verwacht dat deelnemers splitsen op basis van frequentie (zeldzame uitzonderingen naar een apart model) of op basis van aard (technische fouten apart van businessescalaties). Beide zijn verdedigbaar; beoordeel of het gekozen criterium consistent is toegepast, niet welk criterium gekozen werd.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om tegen te spreken: niet elke technische fout hoeft zichtbaar te zijn in het businessmodel — sommige worden op een lager, uitvoeringsniveau afgehandeld zonder dat de business-analist ze in het analysemodel hoeft te tonen (vooruitwijzing naar deel 19).</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sluit direct aan bij §13.1's slotzin.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Filosofisch interessant en waar in de kern — goed voor een korte discussie, geen harde toets.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Bewust af te wijzen: het casusfragment in §13.3 laat precies zien waarom correlatie een businessgevolg heeft. Verwacht en corrigeer instemming met deze stelling stevig.</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Choreography kiezen "omdat het geleerd is"</w:t>
      </w:r>
      <w:r>
        <w:rPr>
          <w:rFonts w:ascii="Calibri" w:cs="Calibri" w:eastAsia="Calibri" w:hAnsi="Calibri"/>
          <w:b w:val="false"/>
          <w:bCs w:val="false"/>
          <w:i w:val="false"/>
          <w:iCs w:val="false"/>
          <w:color w:val="1A1A1A"/>
          <w:sz w:val="21"/>
          <w:szCs w:val="21"/>
        </w:rPr>
        <w:t xml:space="preserve"> ook waar collaboration voldoet — herinner aan de schaarste die opdracht 1 laat zien.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Correlatie als bijzaak behandelen</w:t>
      </w:r>
      <w:r>
        <w:rPr>
          <w:rFonts w:ascii="Calibri" w:cs="Calibri" w:eastAsia="Calibri" w:hAnsi="Calibri"/>
          <w:b w:val="false"/>
          <w:bCs w:val="false"/>
          <w:i w:val="false"/>
          <w:iCs w:val="false"/>
          <w:color w:val="1A1A1A"/>
          <w:sz w:val="21"/>
          <w:szCs w:val="21"/>
        </w:rPr>
        <w:t xml:space="preserve"> in plaats van als expliciet, benoemd ontwerpelement — zie het aandachtspunt hierboven.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Error en escalation door elkaar gebruiken</w:t>
      </w:r>
      <w:r>
        <w:rPr>
          <w:rFonts w:ascii="Calibri" w:cs="Calibri" w:eastAsia="Calibri" w:hAnsi="Calibri"/>
          <w:b w:val="false"/>
          <w:bCs w:val="false"/>
          <w:i w:val="false"/>
          <w:iCs w:val="false"/>
          <w:color w:val="1A1A1A"/>
          <w:sz w:val="21"/>
          <w:szCs w:val="21"/>
        </w:rPr>
        <w:t xml:space="preserve"> zonder de vraag "wie wordt hierdoor geïnformeerd, en waarom" te stellen.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Compensatie als technische undo zien</w:t>
      </w:r>
      <w:r>
        <w:rPr>
          <w:rFonts w:ascii="Calibri" w:cs="Calibri" w:eastAsia="Calibri" w:hAnsi="Calibri"/>
          <w:b w:val="false"/>
          <w:bCs w:val="false"/>
          <w:i w:val="false"/>
          <w:iCs w:val="false"/>
          <w:color w:val="1A1A1A"/>
          <w:sz w:val="21"/>
          <w:szCs w:val="21"/>
        </w:rPr>
        <w:t xml:space="preserve"> in plaats van als businesshandeling — de kern van opdracht 4's veelgemaakte fout.</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Diagramtype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willekeurig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passend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Beargumenteert waarom niet de andere twee, herkent de schaarste van choreography</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Correlatie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of ongemotiveerde sleutel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Correlatiesleutel aanwezig en benoemd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Sleutel gemotiveerd, risico van een zwakkere sleutel benoemd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Foutafhandeling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Error en escalation door elkaar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 onderscheid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 onderscheid, benoemt wie geïnformeerd wordt en waarom</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Compensatie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Compensatie als technische undo</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Compensatie als businesshandeling voor eenvoudige stappen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Compensatie doordacht voor lastige stappen (verstuurde communicatie), onderscheid tussen soorten compensatie expliciet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BPMN-XML referentiemodel voor opdracht 2, het overvolle model voor opdracht 5 als uitgereikt document.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13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2026-08-17T15:51:45.917Z</dcterms:created>
  <dcterms:modified xsi:type="dcterms:W3CDTF">2026-08-17T15:51:45.919Z</dcterms:modified>
</cp:coreProperties>
</file>

<file path=docProps/custom.xml><?xml version="1.0" encoding="utf-8"?>
<Properties xmlns="http://schemas.openxmlformats.org/officeDocument/2006/custom-properties" xmlns:vt="http://schemas.openxmlformats.org/officeDocument/2006/docPropsVTypes"/>
</file>