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14</w:t>
      </w:r>
    </w:p>
    <w:p>
      <w:pPr>
        <w:spacing w:after="300"/>
      </w:pPr>
      <w:r>
        <w:rPr>
          <w:rFonts w:ascii="Calibri" w:cs="Calibri" w:eastAsia="Calibri" w:hAnsi="Calibri"/>
          <w:b/>
          <w:bCs/>
          <w:color w:val="14213D"/>
          <w:sz w:val="32"/>
          <w:szCs w:val="32"/>
        </w:rPr>
        <w:t xml:space="preserve">Docentenhandleiding — BPMN gevorderd II: data, resources en semantiek</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Dit deel bevat twee inhoudelijk verschillende helften die elk hun eigen aandacht vragen: de eerste helft (data, resources, multi-instance) is verdieping van eerder behandelde notatie; de tweede helft (§14.6-14.7) is nieuw terrein waarin het ontwerp voor het eerst botst met een concrete technische beperking buiten de modelleur om. Bewaak dat de tweede helft niet wordt afgeraffeld — het legacy-compromis in opdracht 6 is een van de meest realistische consultantsituaties in heel niveau 2.</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4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13, programma</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 – 0:30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Data in BPMN volledig (§14.1)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14.1</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0:30 – 1:00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Conductus</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1:00 – 1:15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Data state (§14.2) — opdracht 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 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1:15 – 1:30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1:30 – 1:50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Raakvlak met het informatiemodel (§14.3)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het vier-definities-probleem herhaald</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1:50 – 2:15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2:15 – 2:35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Resources en performers (§14.4)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2:35 – 2:50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2:50 – 3:10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Multi-instance in detail (§14.5) — opdracht 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 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3:10 – 3:35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Mensproces vs. systeemorchestratie (§14.6) — opdracht 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 tweetallen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3:35 – 4:00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Legacy als ontwerpbeperking (§14.7), opdracht 6 starten, vooruitblik</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 start deliverable</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Opdracht 6 loopt door na het dagdeel. Geef bij de introductie van §14.7 nadrukkelijk de tijd om de technische notitie goed te lezen — deelnemers die de beperking niet volledig doorgronden, leveren een oppervlakkig compromis.</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Data toevoegen</w:t>
      </w:r>
    </w:p>
    <w:p>
      <w:pPr>
        <w:spacing w:after="160" w:line="300"/>
        <w:jc w:val="left"/>
      </w:pPr>
      <w:r>
        <w:rPr>
          <w:rFonts w:ascii="Calibri" w:cs="Calibri" w:eastAsia="Calibri" w:hAnsi="Calibri"/>
          <w:b w:val="false"/>
          <w:bCs w:val="false"/>
          <w:i w:val="false"/>
          <w:iCs w:val="false"/>
          <w:color w:val="1A1A1A"/>
          <w:sz w:val="21"/>
          <w:szCs w:val="21"/>
        </w:rPr>
        <w:t xml:space="preserve">Geen uniek modelantwoord. Controleer of de transformatie-expressie functioneel is (niet alleen een pijl met het label "transformatie" zonder inhoud) en of de weggelaten data in de tekstannotatie inhoudelijk gemotiveerd is — "dit leek me te veel detail" is onvoldoende; een goed antwoord benoemt welk gebruiksdoel (niveau 1, deel 1, §1.4) bepaalt wat wel en niet nodig is.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Data state of niet</w:t>
      </w:r>
    </w:p>
    <w:p>
      <w:pPr>
        <w:spacing w:after="160" w:line="300"/>
        <w:jc w:val="left"/>
      </w:pPr>
      <w:r>
        <w:rPr>
          <w:rFonts w:ascii="Calibri" w:cs="Calibri" w:eastAsia="Calibri" w:hAnsi="Calibri"/>
          <w:b w:val="false"/>
          <w:bCs w:val="false"/>
          <w:i w:val="false"/>
          <w:iCs w:val="false"/>
          <w:color w:val="1A1A1A"/>
          <w:sz w:val="21"/>
          <w:szCs w:val="21"/>
        </w:rPr>
        <w:t xml:space="preserve">Verwacht bij correcte uitwerking: fragmenten waarin de state een echte transitie toont (bijvoorbeeld "Aanvraag [afgewezen]" na een expliciete beoordelingsstap) worden aangemerkt als verhelderend; fragmenten waarin de state een activiteit herhaalt worden aangemerkt als vervuilend. Laat deelnemers hun eigen vuistregel formuleren in plaats van een lijstje regels te geven.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Verwijzen naar het informatiemodel</w:t>
      </w:r>
    </w:p>
    <w:p>
      <w:pPr>
        <w:spacing w:after="160" w:line="300"/>
        <w:jc w:val="left"/>
      </w:pPr>
      <w:r>
        <w:rPr>
          <w:rFonts w:ascii="Calibri" w:cs="Calibri" w:eastAsia="Calibri" w:hAnsi="Calibri"/>
          <w:b w:val="false"/>
          <w:bCs w:val="false"/>
          <w:i w:val="false"/>
          <w:iCs w:val="false"/>
          <w:color w:val="1A1A1A"/>
          <w:sz w:val="21"/>
          <w:szCs w:val="21"/>
        </w:rPr>
        <w:t xml:space="preserve">Geen uniek antwoord. Verwachte definities voor "openstaande mutatie": (a) elke mutatie die nog niet is afgesloten, inclusief mutaties die wachten op een reactie van de deelnemer, en (b) alleen mutaties die intern actief in behandeling zijn. Een goed antwoord herkent dat (a) geschikt is voor SLA-bewaking richting de deelnemer, terwijl (b) geschikter is voor interne capaciteitssturing — en dat het gebruik van de verkeerde definitie voor het verkeerde doel tot een misleidend beeld leidt (bijvoorbeeld: een schijnbaar lage werkvoorraad die feitelijk alleen intern gemeten wordt, terwijl er buiten een grote wachtrij bij deelnemers ligt).</w:t>
      </w: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Dit is een directe toepassing van het vier-definities-probleem uit niveau 1 op een nieuw begrip. Vraag door: wie zou deze definitie moeten vaststellen, en past dat bij de rollen die in deel 11 (modelleerrichtlijn) al zijn benoemd?</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Multi-instance ontwerpen</w:t>
      </w:r>
    </w:p>
    <w:p>
      <w:pPr>
        <w:spacing w:after="160" w:line="300"/>
        <w:jc w:val="left"/>
      </w:pPr>
      <w:r>
        <w:rPr>
          <w:rFonts w:ascii="Calibri" w:cs="Calibri" w:eastAsia="Calibri" w:hAnsi="Calibri"/>
          <w:b w:val="false"/>
          <w:bCs w:val="false"/>
          <w:i w:val="false"/>
          <w:iCs w:val="false"/>
          <w:color w:val="1A1A1A"/>
          <w:sz w:val="21"/>
          <w:szCs w:val="21"/>
        </w:rPr>
        <w:t xml:space="preserve">Verwacht: cardinaliteit vast op 5 (het aantal comitéleden), completion condition als expressie die telt hoeveel instanties een positief resultaat hebben opgeleverd en stopt bij drie. Input per instantie: het dossier plus de identiteit van het comitélid; output: het individuele oordeel. Een goed antwoord benoemt expliciet dat de resterende twee instanties, als de completion condition al vervuld is, niet meer worden afgewacht — en bespreekt kort of dat wenselijk is (worden hun oordelen alsnog vastgelegd voor de administratie, ook al tellen ze niet meer mee voor de beslissing?).</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Twee stijlen</w:t>
      </w:r>
    </w:p>
    <w:p>
      <w:pPr>
        <w:spacing w:after="160" w:line="300"/>
        <w:jc w:val="left"/>
      </w:pPr>
      <w:r>
        <w:rPr>
          <w:rFonts w:ascii="Calibri" w:cs="Calibri" w:eastAsia="Calibri" w:hAnsi="Calibri"/>
          <w:b w:val="false"/>
          <w:bCs w:val="false"/>
          <w:i w:val="false"/>
          <w:iCs w:val="false"/>
          <w:color w:val="1A1A1A"/>
          <w:sz w:val="21"/>
          <w:szCs w:val="21"/>
        </w:rPr>
        <w:t xml:space="preserve">Verwachte verschillen: granulariteit (mensproces: één activiteit "Volledigheid controleren"; systeemorchestratie: aparte service tasks per veldvalidatie), foutafhandeling (mensproces: een enkel uitzonderingspad met menselijke beoordeling; systeemorchestratie: een expliciet pad per mogelijke foutcode), naamgeving (mensproces: taakgericht en beknopt; systeemorchestratie: technisch precies), en zichtbaarheid van technische details (mensproces: verborgen; systeemorchestratie: expliciet in het model).</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Legacy-compromis</w:t>
      </w:r>
    </w:p>
    <w:p>
      <w:pPr>
        <w:spacing w:after="160" w:line="300"/>
        <w:jc w:val="left"/>
      </w:pPr>
      <w:r>
        <w:rPr>
          <w:rFonts w:ascii="Calibri" w:cs="Calibri" w:eastAsia="Calibri" w:hAnsi="Calibri"/>
          <w:b w:val="false"/>
          <w:bCs w:val="false"/>
          <w:i w:val="false"/>
          <w:iCs w:val="false"/>
          <w:color w:val="1A1A1A"/>
          <w:sz w:val="21"/>
          <w:szCs w:val="21"/>
        </w:rPr>
        <w:t xml:space="preserve">Geen uniek modelantwoord. Kernpunt van beoordeling: is het compromis </w:t>
      </w:r>
      <w:r>
        <w:rPr>
          <w:rFonts w:ascii="Calibri" w:cs="Calibri" w:eastAsia="Calibri" w:hAnsi="Calibri"/>
          <w:b/>
          <w:bCs/>
          <w:i w:val="false"/>
          <w:iCs w:val="false"/>
          <w:color w:val="1A1A1A"/>
          <w:sz w:val="21"/>
          <w:szCs w:val="21"/>
        </w:rPr>
        <w:t xml:space="preserve">specifiek</w:t>
      </w:r>
      <w:r>
        <w:rPr>
          <w:rFonts w:ascii="Calibri" w:cs="Calibri" w:eastAsia="Calibri" w:hAnsi="Calibri"/>
          <w:b w:val="false"/>
          <w:bCs w:val="false"/>
          <w:i w:val="false"/>
          <w:iCs w:val="false"/>
          <w:color w:val="1A1A1A"/>
          <w:sz w:val="21"/>
          <w:szCs w:val="21"/>
        </w:rPr>
        <w:t xml:space="preserve"> voor déze beperking (een wachtstap met een timer die de batch-cyclus weerspiegelt, eventueel met een voorlopige in plaats van definitieve bevestiging aan de deelnemer) in plaats van een generieke "we voegen een wachttijd toe"? En is de doorlooptijdimpact daadwerkelijk herleid naar de knelpuntanalyse uit deel 12, niet losstaand herberekend?</w:t>
      </w:r>
    </w:p>
    <w:p>
      <w:pPr>
        <w:spacing w:after="160" w:line="300"/>
        <w:jc w:val="left"/>
      </w:pPr>
      <w:r>
        <w:rPr>
          <w:rFonts w:ascii="Calibri" w:cs="Calibri" w:eastAsia="Calibri" w:hAnsi="Calibri"/>
          <w:b/>
          <w:bCs/>
          <w:i w:val="false"/>
          <w:iCs w:val="false"/>
          <w:color w:val="1A1A1A"/>
          <w:sz w:val="21"/>
          <w:szCs w:val="21"/>
        </w:rPr>
        <w:t xml:space="preserve">Veelgemaakte fout.</w:t>
      </w:r>
      <w:r>
        <w:rPr>
          <w:rFonts w:ascii="Calibri" w:cs="Calibri" w:eastAsia="Calibri" w:hAnsi="Calibri"/>
          <w:b w:val="false"/>
          <w:bCs w:val="false"/>
          <w:i w:val="false"/>
          <w:iCs w:val="false"/>
          <w:color w:val="1A1A1A"/>
          <w:sz w:val="21"/>
          <w:szCs w:val="21"/>
        </w:rPr>
        <w:t xml:space="preserve"> Deelnemers modelleren de batch-vertraging soms als simpelweg een langere timer, zonder na te denken over de communicatie naar de deelnemer (die anders "voorlopig" bericht krijgt waar hij "definitief" verwachtte) — dit is precies het soort gat dat de verantwoording in stap 4 moet dichten.</w:t>
      </w:r>
    </w:p>
    <w:p>
      <w:pPr>
        <w:spacing w:after="160" w:line="300"/>
        <w:jc w:val="left"/>
      </w:pPr>
      <w:r>
        <w:rPr>
          <w:rFonts w:ascii="Calibri" w:cs="Calibri" w:eastAsia="Calibri" w:hAnsi="Calibri"/>
          <w:b/>
          <w:bCs/>
          <w:i w:val="false"/>
          <w:iCs w:val="false"/>
          <w:color w:val="1A1A1A"/>
          <w:sz w:val="21"/>
          <w:szCs w:val="21"/>
        </w:rPr>
        <w:t xml:space="preserve">Signaal om te herkennen.</w:t>
      </w:r>
      <w:r>
        <w:rPr>
          <w:rFonts w:ascii="Calibri" w:cs="Calibri" w:eastAsia="Calibri" w:hAnsi="Calibri"/>
          <w:b w:val="false"/>
          <w:bCs w:val="false"/>
          <w:i w:val="false"/>
          <w:iCs w:val="false"/>
          <w:color w:val="1A1A1A"/>
          <w:sz w:val="21"/>
          <w:szCs w:val="21"/>
        </w:rPr>
        <w:t xml:space="preserve"> Een deelnemer die concludeert "dit compromis is niet acceptabel, we moeten het koppelvlak vervangen" is niet fout — dat kan een verdedigbare conclusie zijn, mits onderbouwd met de kosten-batenafweging die zo'n advies vereist. Beoordeel de kwaliteit van het argument, niet of het compromis geaccepteerd wordt.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Prikkelend, en grotendeels waar in de praktijk — een goede aanleiding om §14.2 te herhalen: de uitzondering (een echte transitie) is zeldzamer dan deelnemers aanvankelijk denken.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in theorie, met een praktisch tegenargument: veel organisaties (waaronder, impliciet, delen van Meridiaan) hebben dat niet, en moeten dan met de modelleerrichtlijn als tussenoplossing werken — precies wat opdracht 3 laat zien.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Verdedigbaar, met een tegenargument: het autorisatiemodel implementeert de scheiding, maar het procesmodel moet hem tonen, anders is er geen traceerbaarheid tussen ontwerp en implementatie (zie §14.4).</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Bewust eenzijdig: in theorie waar, in de praktijk (zoals opdracht 6 laat zien) moet een procesontwerp vaak wél reageren op een architectuurbeperking die op korte termijn niet op te lossen is. Laat deelnemers het spanningsveld tussen "juiste oplossing" en "haalbare oplossing binnen de programmatermijn" benoemen.</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Data toevoegen zonder gebruiksdoel te overwegen</w:t>
      </w:r>
      <w:r>
        <w:rPr>
          <w:rFonts w:ascii="Calibri" w:cs="Calibri" w:eastAsia="Calibri" w:hAnsi="Calibri"/>
          <w:b w:val="false"/>
          <w:bCs w:val="false"/>
          <w:i w:val="false"/>
          <w:iCs w:val="false"/>
          <w:color w:val="1A1A1A"/>
          <w:sz w:val="21"/>
          <w:szCs w:val="21"/>
        </w:rPr>
        <w:t xml:space="preserve"> — elk denkbaar veld tonen in plaats van een bewuste keuze te maken (zie opdracht 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Het vier-definities-probleem niet herkennen in een nieuw begrip</w:t>
      </w:r>
      <w:r>
        <w:rPr>
          <w:rFonts w:ascii="Calibri" w:cs="Calibri" w:eastAsia="Calibri" w:hAnsi="Calibri"/>
          <w:b w:val="false"/>
          <w:bCs w:val="false"/>
          <w:i w:val="false"/>
          <w:iCs w:val="false"/>
          <w:color w:val="1A1A1A"/>
          <w:sz w:val="21"/>
          <w:szCs w:val="21"/>
        </w:rPr>
        <w:t xml:space="preserve"> — deelnemers die niveau 1 goed onthouden hebben, herkennen het patroon soms niet automatisch bij "openstaande mutatie" omdat het een ander woord is. Wijs expliciet op de parallel.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Multi-instance met een te simpele completion condition</w:t>
      </w:r>
      <w:r>
        <w:rPr>
          <w:rFonts w:ascii="Calibri" w:cs="Calibri" w:eastAsia="Calibri" w:hAnsi="Calibri"/>
          <w:b w:val="false"/>
          <w:bCs w:val="false"/>
          <w:i w:val="false"/>
          <w:iCs w:val="false"/>
          <w:color w:val="1A1A1A"/>
          <w:sz w:val="21"/>
          <w:szCs w:val="21"/>
        </w:rPr>
        <w:t xml:space="preserve"> ("alle instanties") zonder de vraag te stellen of dat hier klopt.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Het legacy-compromis te generiek oplossen</w:t>
      </w:r>
      <w:r>
        <w:rPr>
          <w:rFonts w:ascii="Calibri" w:cs="Calibri" w:eastAsia="Calibri" w:hAnsi="Calibri"/>
          <w:b w:val="false"/>
          <w:bCs w:val="false"/>
          <w:i w:val="false"/>
          <w:iCs w:val="false"/>
          <w:color w:val="1A1A1A"/>
          <w:sz w:val="21"/>
          <w:szCs w:val="21"/>
        </w:rPr>
        <w:t xml:space="preserve"> in plaats van specifiek voor de gegeven beperking — het belangrijkste beoordelingscriterium van opdracht 6.</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Data-modellering</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Elk veld getoond zonder selectie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Bewuste selectie, summier gemotiveerd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Selectie gemotiveerd vanuit het gebruiksdoel, transformatie functioneel</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Informatiemodel-raakvlak</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Definieert het begrip zelf in het procesmodel</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Verwijst naar een definitie, zonder de spanning tussen doelen te benoemen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Herkent meerdere mogelijke definities en koppelt elk aan een passend gebruiksdoel</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Multi-instance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Vaste "alle instanties"-aanname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Correcte completion condition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Completion condition met expliciete afweging over de resterende instanties</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Legacy-compromis</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Generieke oplossing, geen doorlooptijdimpact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Specifiek compromis, doorlooptijdimpact benoemd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Compromis herleid naar de knelpuntanalyse, verantwoording overtuigend voor een directeur met tijdsdruk</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toegang tot Conductus, de technische notitie over de legacy-beperking als uitgereikt document, het to-be ontwerp Waardeoverdrachten van elke deelnemer (uit deel 12/13) beschikbaar.</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14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2026-08-17T15:51:46.982Z</dcterms:created>
  <dcterms:modified xsi:type="dcterms:W3CDTF">2026-08-17T15:51:46.983Z</dcterms:modified>
</cp:coreProperties>
</file>

<file path=docProps/custom.xml><?xml version="1.0" encoding="utf-8"?>
<Properties xmlns="http://schemas.openxmlformats.org/officeDocument/2006/custom-properties" xmlns:vt="http://schemas.openxmlformats.org/officeDocument/2006/docPropsVTypes"/>
</file>