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2563A8"/>
          <w:sz w:val="20"/>
          <w:szCs w:val="20"/>
        </w:rPr>
        <w:t xml:space="preserve">BPMN, CMMN &amp; DMN</w:t>
      </w:r>
    </w:p>
    <w:p>
      <w:pPr>
        <w:spacing w:after="4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Niveau 2 — Praktijk · Deel 16</w:t>
      </w:r>
    </w:p>
    <w:p>
      <w:pPr>
        <w:spacing w:after="300"/>
      </w:pPr>
      <w:r>
        <w:rPr>
          <w:rFonts w:ascii="Calibri" w:cs="Calibri" w:eastAsia="Calibri" w:hAnsi="Calibri"/>
          <w:b/>
          <w:bCs/>
          <w:color w:val="14213D"/>
          <w:sz w:val="34"/>
          <w:szCs w:val="34"/>
        </w:rPr>
        <w:t xml:space="preserve">Werkboek — Beslismanagement en regelbeheer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Werk de opdrachten in volgorde. Opdracht 1 individueel, opdracht 2 (deliverable) individueel, opdracht 3 (kerndeliverable) individueel, opdracht 4 individueel in Conductus, opdracht 5 (het moeilijkste van niveau 2) in tweetallen, opdracht 6 plenair. Reken op ± 3,5 uur.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1 — Classificeer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Classificeer vijftien uitspraken als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beleid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beslissing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of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regel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"Meridiaan beoordeelt elke aanvraag tot vervroegde uittreding zorgvuldig en uniform."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"Bij drie jaar vervroeging geldt een korting van 9%."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"Het uitkeringspercentage wordt bepaald op basis van jaren vervroeging, partnerpensioen en eerdere waardeoverdracht."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"Wij streven naar transparante en herleidbare besluitvorming richting onze deelnemers."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"Als de deelnemer een partner heeft met recht op partnerpensioen, wordt 2 procentpunt extra gekort."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"De kortingsberekening wordt jaarlijks getoetst aan de actuariële uitgangspunten."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"Bij een eerdere waardeoverdracht wordt de berekeningsbasis aangepast conform artikel 7 van het pensioenreglement."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"Meridiaan hanteert het voorzichtigheidsbeginsel bij twijfelgevallen."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"De einddecision combineert de drie deeluitkomsten tot één definitief percentage."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"Bij een dekkingsgraad onder 100% wordt de aanvraag aangehouden."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"Wij willen dat elke regel herleidbaar is tot een concreet artikel."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"De DRD voor vervroegde uittreding bevat drie decisions."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"Boven de 67 jaar geldt geen korting meer."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"Wijzigingen in kortingspercentages worden altijd vooraf getoetst door de actuaris."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"Regels worden nooit met terugwerkende kracht ingevoerd zonder expliciet bestuursbesluit."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2 — Traceerbaarheid *(deliverable)*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Stel voor vijf regels uit de vervroegde-uittredingberekening (gebruik je eigen tabellen uit deel 15, of de gegeven voorbeeldregels) een traceerbaarheidsmatrix op: regel, bron (artikel, beleidsdocument, of "nog te bepalen" als de bron ontbreekt), en wie de vertaling heeft gemaakt.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Wees eerlijk over ontbrekende bronnen — een lege bron-kolom is een geldige, waardevolle uitkomst van deze opdracht, geen fout.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3 — Repository ontwerpen *(kerndeliverable)*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Ontwerp een regelrepository voor het Programma Mutatieplatform.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Eisen: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Kolommenset (minimaal: regel-ID, omschrijving, bron, eigenaar, status, versie, effectieve datum, registratiedatum).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Levenscyclusstatussen met de betekenis van elke status.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Versioneringsafspraak: hoe wordt een oude versie geraadpleegd, en door wie?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Een korte toelichting (maximaal een halve pagina) over hoe deze repository zich verhoudt tot de modelleerrichtlijn en de rollen uit deel 11.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4 — Wijzigingsproces modelleren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Modelleer in Conductus het proces "Regel wijzigen" in BPMN, met de drie rollen uit §16.4 (voorsteller, toetser, goedkeurder) en minstens twee guardrails uit §16.4 zichtbaar in het model (bijvoorbeeld: een verplichte geautomatiseerde toets vóór menselijke goedkeuring).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5 — Terugwerkende kracht *(tweetallen — het moeilijkste van niveau 2)*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Een regelwijziging wordt per 1 januari doorgevoerd, met een effectieve datum van 1 juli van het voorgaande jaar (zes maanden terugwerkende kracht).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Welke deelnemers moeten mogelijk herberekend worden? Beschrijf hoe je deze populatie zou identificeren.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Wat betekent dit voor het beslismodel: kan je huidige tabelstructuur (uit deel 15) deze situatie aan, of moet je iets aanpassen?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Wat betekent dit voor de communicatie naar geraakte deelnemers — en is dat een procesvraagstuk (BPMN), een beslisvraagstuk (DMN), of allebei?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Schrijf een korte notitie (een halve pagina) over wat je zou willen dat er ván tevoren was ingericht, zodat dit scenario minder pijnlijk was geweest.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Er is geen net antwoord voor deze opdracht. Documenteer waar je vastloopt net zo expliciet als waar je een oplossing vindt.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6 — Stellingen *(plenair)*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De vakafdeling moet DMN-tabellen zelf kunnen wijzigen, mits binnen guardrails.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Elke regel moet herleidbaar zijn tot een artikel — regels zonder traceerbare bron horen niet in productie.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Bitemporaliteit inrichten is een dure investering die pas de moeite waard is nadat je een keer bent misgegaan met terugwerkende kracht — niet eerder.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Shadow runs zijn voor elke regelwijziging de moeite waard, ongeacht de impact.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Vooruitblik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Deel 17 verlaat DMN en gaat terug naar CMMN, nu op gevorderd niveau: levenscycli, samengestelde sentries, plan fragments, en het kernvraagstuk van casemanagement — hoeveel leg je vast, en hoeveel laat je los.</w:t>
      </w:r>
    </w:p>
    <w:sectPr>
      <w:headerReference w:type="default" r:id="rId7"/>
      <w:footerReference w:type="default" r:id="rId8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BPMN, CMMN &amp; DMN — </w:t>
    </w:r>
    <w:r>
      <w:rPr>
        <w:rFonts w:ascii="Calibri" w:cs="Calibri" w:eastAsia="Calibri" w:hAnsi="Calibri"/>
        <w:color w:val="6B7280"/>
        <w:sz w:val="15"/>
        <w:szCs w:val="15"/>
      </w:rPr>
      <w:t xml:space="preserve">pagina </w:t>
    </w:r>
    <w:r>
      <w:rPr>
        <w:rFonts w:ascii="Calibri" w:cs="Calibri" w:eastAsia="Calibri" w:hAnsi="Calibri"/>
        <w:color w:val="6B7280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6B7280"/>
        <w:sz w:val="16"/>
        <w:szCs w:val="16"/>
      </w:rPr>
      <w:t xml:space="preserve">Deel 16 · Werkboek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2026-08-17T15:51:48.888Z</dcterms:created>
  <dcterms:modified xsi:type="dcterms:W3CDTF">2026-08-17T15:51:48.889Z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