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19</w:t>
      </w:r>
    </w:p>
    <w:p>
      <w:pPr>
        <w:spacing w:after="300"/>
      </w:pPr>
      <w:r>
        <w:rPr>
          <w:rFonts w:ascii="Calibri" w:cs="Calibri" w:eastAsia="Calibri" w:hAnsi="Calibri"/>
          <w:b/>
          <w:bCs/>
          <w:color w:val="14213D"/>
          <w:sz w:val="32"/>
          <w:szCs w:val="32"/>
        </w:rPr>
        <w:t xml:space="preserve">Docentenhandleiding — Van model naar uitvoering</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zwaarste praktische deel van niveau 2. Dagdeel 1 draait om het eerste echte deployen — reken op aanzienlijke technische frictie en plan daar ruim voor, net zoals bij het eerste modelleerdeel in niveau 1 (deel 3). Dagdeel 2 is conceptueel zwaarder (contracten, architectuurkeuzes, teststrategie) maar technisch minder frictiegevoelig.</w:t>
      </w:r>
    </w:p>
    <w:p>
      <w:pPr>
        <w:spacing w:after="160" w:line="300"/>
        <w:jc w:val="left"/>
      </w:pPr>
      <w:r>
        <w:rPr>
          <w:rFonts w:ascii="Calibri" w:cs="Calibri" w:eastAsia="Calibri" w:hAnsi="Calibri"/>
          <w:b w:val="false"/>
          <w:bCs w:val="false"/>
          <w:i w:val="false"/>
          <w:iCs w:val="false"/>
          <w:color w:val="1A1A1A"/>
          <w:sz w:val="21"/>
          <w:szCs w:val="21"/>
        </w:rPr>
        <w:t xml:space="preserve">Positioneer dit deel expliciet ten opzichte van de losse keuzemodule Technisch: dit deel geeft de architectuurkeuzes en het vocabulaire, niet de volledige technische diepgang van connectoren en deployment-architectuur. Deelnemers die na dit deel meer willen, verwijs je door.</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18, aankondiging: twee dagdelen, veel praktijk vandaag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gat tussen analyse en uitvoering (§19.1)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19.1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0:40 – 1:20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1:20 – 1:35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1:35 – 2:00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BPMN executable (§19.2)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19.2</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2:00 – 2:15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Voorbereiding deployen: omgeving controleren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2:15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 — reken op ruime technische frictie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3:30 – 3:50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Bevindingen delen: wat liep vast, wat niet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2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dagdeel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DMN als beslisservice (§19.3)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19.3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0:40 – 1:10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1:25 – 1:55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 in engines (§19.4)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19.4, herhaling van de Conductus-afspraken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1:55 – 2:25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2:25 – 2:40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2:40 – 2:55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FEEL over de talen heen (§19.5) kort, testen (§19.6)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 3:20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5 starten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Guardrails (§19.7) — opdracht 6, opdracht 7,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tweetallen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5 (teststrategie) loopt door na dagdeel 2 — geef een duidelijke inleverdatum vóór deel 20.</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Dagdeel 1</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Analyse naar uitvoering</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of de lijst met toevoegingen daadwerkelijk </w:t>
      </w:r>
      <w:r>
        <w:rPr>
          <w:rFonts w:ascii="Calibri" w:cs="Calibri" w:eastAsia="Calibri" w:hAnsi="Calibri"/>
          <w:b/>
          <w:bCs/>
          <w:i w:val="false"/>
          <w:iCs w:val="false"/>
          <w:color w:val="1A1A1A"/>
          <w:sz w:val="21"/>
          <w:szCs w:val="21"/>
        </w:rPr>
        <w:t xml:space="preserve">elk</w:t>
      </w:r>
      <w:r>
        <w:rPr>
          <w:rFonts w:ascii="Calibri" w:cs="Calibri" w:eastAsia="Calibri" w:hAnsi="Calibri"/>
          <w:b w:val="false"/>
          <w:bCs w:val="false"/>
          <w:i w:val="false"/>
          <w:iCs w:val="false"/>
          <w:color w:val="1A1A1A"/>
          <w:sz w:val="21"/>
          <w:szCs w:val="21"/>
        </w:rPr>
        <w:t xml:space="preserve"> element van het analysemodel raakt — een veelgemaakte fout is dat deelnemers alleen de meest voor de hand liggende service tasks uitwerken en gateways/timers overslaan. Controleer expliciet of correlatie (uit deel 13) is meegenomen — dit wordt het vaakst vergeten omdat het in het analysemodel als tekstannotatie stond, niet als apart element.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Deployen</w:t>
      </w:r>
    </w:p>
    <w:p>
      <w:pPr>
        <w:spacing w:after="160" w:line="300"/>
        <w:jc w:val="left"/>
      </w:pPr>
      <w:r>
        <w:rPr>
          <w:rFonts w:ascii="Calibri" w:cs="Calibri" w:eastAsia="Calibri" w:hAnsi="Calibri"/>
          <w:b w:val="false"/>
          <w:bCs w:val="false"/>
          <w:i w:val="false"/>
          <w:iCs w:val="false"/>
          <w:color w:val="1A1A1A"/>
          <w:sz w:val="21"/>
          <w:szCs w:val="21"/>
        </w:rPr>
        <w:t xml:space="preserve">Geen beoordeling in de klassieke zin — dit is een praktische, begeleide oefening. Reserveer bewust tijd om rond te lopen en te helpen. Verwacht veelvoorkomende frictiepunten: verwarring over waar formulierdata precies terechtkomt, verkeerd geconfigureerde expressies op gateways die geen match vinden, en onduidelijkheid over hoe je een lopende instantie inspecteert.</w:t>
      </w:r>
    </w:p>
    <w:p>
      <w:pPr>
        <w:spacing w:after="160" w:line="300"/>
        <w:jc w:val="left"/>
      </w:pPr>
      <w:r>
        <w:rPr>
          <w:rFonts w:ascii="Calibri" w:cs="Calibri" w:eastAsia="Calibri" w:hAnsi="Calibri"/>
          <w:b/>
          <w:bCs/>
          <w:i w:val="false"/>
          <w:iCs w:val="false"/>
          <w:color w:val="1A1A1A"/>
          <w:sz w:val="21"/>
          <w:szCs w:val="21"/>
        </w:rPr>
        <w:t xml:space="preserve">Aanpak bij vastlopen.</w:t>
      </w:r>
      <w:r>
        <w:rPr>
          <w:rFonts w:ascii="Calibri" w:cs="Calibri" w:eastAsia="Calibri" w:hAnsi="Calibri"/>
          <w:b w:val="false"/>
          <w:bCs w:val="false"/>
          <w:i w:val="false"/>
          <w:iCs w:val="false"/>
          <w:color w:val="1A1A1A"/>
          <w:sz w:val="21"/>
          <w:szCs w:val="21"/>
        </w:rPr>
        <w:t xml:space="preserve"> Laat deelnemers eerst zelf vijf minuten proberen te debuggen (welke foutmelding, waar in het proces) voordat je helpt — dit bouwt de vaardigheid op die ze straks zonder docent nodig hebben. Verzamel de meest voorkomende frictiepunten voor de plenaire bespreking aan het eind — dit is waardevolle informatie voor toekomstige afnames van dit deel én, indien relevant, voor Conductus zelf als product.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Dagdeel 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Beslisservice-contract</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 of het foutgedrag concreet is uitgewerkt (niet alleen "geeft een foutmelding" maar welke, en wat de aanroeper daarmee moet doen) en of de versioneringskeuze expliciet gemotiveerd is — "vaste versie" en "altijd laatste" hebben allebei valide toepassingen, afhankelijk van hoe kritiek stabiliteit versus actualiteit is voor die specifieke aanroep.</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CMMN-toets</w:t>
      </w:r>
    </w:p>
    <w:p>
      <w:pPr>
        <w:spacing w:after="160" w:line="300"/>
        <w:jc w:val="left"/>
      </w:pPr>
      <w:r>
        <w:rPr>
          <w:rFonts w:ascii="Calibri" w:cs="Calibri" w:eastAsia="Calibri" w:hAnsi="Calibri"/>
          <w:b w:val="false"/>
          <w:bCs w:val="false"/>
          <w:i w:val="false"/>
          <w:iCs w:val="false"/>
          <w:color w:val="1A1A1A"/>
          <w:sz w:val="21"/>
          <w:szCs w:val="21"/>
        </w:rPr>
        <w:t xml:space="preserve">Geen uniek antwoord, maar een realistisch advies voor Bijzondere Situaties zal, gegeven de eerder besproken status van de Conductus CMMN-editor, waarschijnlijk uitkomen op route (a) of (b) uit §19.4. Beoordeel niet welke route gekozen wordt, maar of de vier vragen uit niveau 1, deel 9, §9.4 daadwerkelijk zijn doorlopen en of de notitie bruikbaar zou zijn voor een echte technisch architect — concreet, met een heldere aanbeveling, niet vrijblijvend.</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een goed moment om terug te grijpen op het eerdere gesprek over Conductus: de keuze om de CMMN-editor te bevriezen en pas later te moderniseren (besproken vroeg in dit traject) is precies zo'n architectuurkeuze als hier gevraagd wordt — leg die parallel expliciet als deelnemers er zelf niet naar vragen.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Teststrategie</w:t>
      </w:r>
    </w:p>
    <w:p>
      <w:pPr>
        <w:spacing w:after="160" w:line="300"/>
        <w:jc w:val="left"/>
      </w:pPr>
      <w:r>
        <w:rPr>
          <w:rFonts w:ascii="Calibri" w:cs="Calibri" w:eastAsia="Calibri" w:hAnsi="Calibri"/>
          <w:b w:val="false"/>
          <w:bCs w:val="false"/>
          <w:i w:val="false"/>
          <w:iCs w:val="false"/>
          <w:color w:val="1A1A1A"/>
          <w:sz w:val="21"/>
          <w:szCs w:val="21"/>
        </w:rPr>
        <w:t xml:space="preserve">Geen uniek antwoord. Kernpunt van beoordeling: is er een zichtbaar onderscheid tussen de drie niveaus (niet alles op "keten" niveau samengevoegd), en zijn de casetestscenario's daadwerkelijk scenario's (een verhaal, zoals de twee dossiers uit niveau 1, deel 7) in plaats van geïsoleerde sentry-checks.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Guardrails bepalen</w:t>
      </w:r>
    </w:p>
    <w:p>
      <w:pPr>
        <w:spacing w:after="160" w:line="300"/>
        <w:jc w:val="left"/>
      </w:pPr>
      <w:r>
        <w:rPr>
          <w:rFonts w:ascii="Calibri" w:cs="Calibri" w:eastAsia="Calibri" w:hAnsi="Calibri"/>
          <w:b w:val="false"/>
          <w:bCs w:val="false"/>
          <w:i w:val="false"/>
          <w:iCs w:val="false"/>
          <w:color w:val="1A1A1A"/>
          <w:sz w:val="21"/>
          <w:szCs w:val="21"/>
        </w:rPr>
        <w:t xml:space="preserve">Verwacht: een percentage in een bestaande kolom → zelfbediening met guardrails (geautomatiseerde toets, mogelijk shadow run); een nieuwe inputkolom → volledig releaseproces (structuurwijziging, raakt mogelijk aanroepcontracten elders — directe link naar opdracht 3 en deel 18, §18.6); een nieuwe BPMN-activiteit → volledig releaseproces. Beoordeel de verdediging van de grens, niet alleen de indeling zelf.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Herhaling van een stelling uit deel 13 — nu met praktijkervaring (opdracht 1-2) om op terug te vallen. Laat deelnemers hun antwoord expliciet vergelijken met wat ze toen dachten.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verdedig het tegendeel — analyse-only is een bewuste, verantwoorde architectuurkeuze wanneer de tooling het écht niet aankan, geen uitstelgedrag, mits (zoals opdracht 4 vraagt) de keuze expliciet is gemaakt en niet stilzwijgend ontstaan.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Deels waar en de moeite waard om te nuanceren: "nooit alle scenario's dekken" is inherent aan casewerk, maar dat betekent niet dat testen zinloos is — het betekent dat je de meest waarschijnlijke en meest risicovolle scenario's dekt, net zoals bij DMN-testen (deel 15) volledige dekking van elke denkbare combinatie ook niet altijd haalbaar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een tekortkoming in tooling die je met discipline compenseert, is nog steeds een tekortkoming — maar tot de tooling verbetert, is de discipline wel degelijk nodig. Beide kanten zijn waar, niet elkaar uitsluitend.</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Alleen de voor de hand liggende elementen uitwerken bij het uitvoerbaar maken</w:t>
      </w:r>
      <w:r>
        <w:rPr>
          <w:rFonts w:ascii="Calibri" w:cs="Calibri" w:eastAsia="Calibri" w:hAnsi="Calibri"/>
          <w:b w:val="false"/>
          <w:bCs w:val="false"/>
          <w:i w:val="false"/>
          <w:iCs w:val="false"/>
          <w:color w:val="1A1A1A"/>
          <w:sz w:val="21"/>
          <w:szCs w:val="21"/>
        </w:rPr>
        <w:t xml:space="preserve"> (service tasks) en timers/correlatie overslaan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Deployen zonder eerst zelf te proberen te debuggen</w:t>
      </w:r>
      <w:r>
        <w:rPr>
          <w:rFonts w:ascii="Calibri" w:cs="Calibri" w:eastAsia="Calibri" w:hAnsi="Calibri"/>
          <w:b w:val="false"/>
          <w:bCs w:val="false"/>
          <w:i w:val="false"/>
          <w:iCs w:val="false"/>
          <w:color w:val="1A1A1A"/>
          <w:sz w:val="21"/>
          <w:szCs w:val="21"/>
        </w:rPr>
        <w:t xml:space="preserve"> — bouw hier bewust een korte zelfstandige-probeerfase in vóór hulp.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CMMN-uitvoeringskeuze stilzwijgend maken</w:t>
      </w:r>
      <w:r>
        <w:rPr>
          <w:rFonts w:ascii="Calibri" w:cs="Calibri" w:eastAsia="Calibri" w:hAnsi="Calibri"/>
          <w:b w:val="false"/>
          <w:bCs w:val="false"/>
          <w:i w:val="false"/>
          <w:iCs w:val="false"/>
          <w:color w:val="1A1A1A"/>
          <w:sz w:val="21"/>
          <w:szCs w:val="21"/>
        </w:rPr>
        <w:t xml:space="preserve"> in plaats van expliciet te verantwoorden — de kern van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Casetesten behandelen als een simpele checklist van sentries</w:t>
      </w:r>
      <w:r>
        <w:rPr>
          <w:rFonts w:ascii="Calibri" w:cs="Calibri" w:eastAsia="Calibri" w:hAnsi="Calibri"/>
          <w:b w:val="false"/>
          <w:bCs w:val="false"/>
          <w:i w:val="false"/>
          <w:iCs w:val="false"/>
          <w:color w:val="1A1A1A"/>
          <w:sz w:val="21"/>
          <w:szCs w:val="21"/>
        </w:rPr>
        <w:t xml:space="preserve"> in plaats van als scenario's die het dossierkarakter recht doen.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Uitvoerbaar maken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Mist elementen (timers, correlatie)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Alle elementen uitgewerkt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Alle elementen uitgewerkt, gat met analysemodel expliciet gedocumenteerd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Deployen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Loopt vast zonder zelf te debuggen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Deployt met hulp, documenteert frictie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Deployt grotendeels zelfstandig, frictie herkend en gedocumenteerd als leermateriaal</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Beslisservice-contract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foutgedrag of versionering uitgewerkt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Contract compleet, summier gemotiveerd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Contract compleet, versioneringskeuze expliciet gemotiveerd per situatie</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CMMN-architectuurkeuze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expliciete route gekozen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Route gekozen, beperkt beargumenteerd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Route gekozen met de vier vragen expliciet doorlopen, bruikbaar voor een echte architect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Teststrategie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Eén niveau gedomineerd, andere summier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 niveaus aanwezig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 niveaus onderscheiden, casetesten als scenario's uitgewerkt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(beide dagdelen), toegang tot Conductus met deploy-rechten, een eenvoudig startmodel voor opdracht 2, de analysemodellen van elke deelnemer uit deel 13 beschikbaar, voldoende tijd tussen dagdelen en na dagdeel 2 voor opdracht 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2026-08-17T15:51:51.831Z</dcterms:created>
  <dcterms:modified xsi:type="dcterms:W3CDTF">2026-08-17T15:51:51.832Z</dcterms:modified>
</cp:coreProperties>
</file>

<file path=docProps/custom.xml><?xml version="1.0" encoding="utf-8"?>
<Properties xmlns="http://schemas.openxmlformats.org/officeDocument/2006/custom-properties" xmlns:vt="http://schemas.openxmlformats.org/officeDocument/2006/docPropsVTypes"/>
</file>