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21</w:t>
      </w:r>
    </w:p>
    <w:p>
      <w:pPr>
        <w:spacing w:after="300"/>
      </w:pPr>
      <w:r>
        <w:rPr>
          <w:rFonts w:ascii="Calibri" w:cs="Calibri" w:eastAsia="Calibri" w:hAnsi="Calibri"/>
          <w:b/>
          <w:bCs/>
          <w:color w:val="14213D"/>
          <w:sz w:val="32"/>
          <w:szCs w:val="32"/>
        </w:rPr>
        <w:t xml:space="preserve">Docentenhandleiding — Governance van modellen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voorlaatste deel van niveau 2, en het deel dat alle voorgaande delen samenbrengt tot een structuur. Dit deel bevat weinig nieuwe notatie — het is grotendeels conceptueel en organisatorisch, vergelijkbaar qua karakter met deel 11 waarmee niveau 2 opende. Dat is bewust: niveau 2 opent en sluit (op één deliverable-deel na) met een deel over structuur en spelregels, met de inhoudelijke verdieping (BPMN, DMN, CMMN, mining) ertussenin.</w:t>
      </w:r>
    </w:p>
    <w:p>
      <w:pPr>
        <w:spacing w:after="160" w:line="300"/>
        <w:jc w:val="left"/>
      </w:pPr>
      <w:r>
        <w:rPr>
          <w:rFonts w:ascii="Calibri" w:cs="Calibri" w:eastAsia="Calibri" w:hAnsi="Calibri"/>
          <w:b/>
          <w:bCs/>
          <w:i w:val="false"/>
          <w:iCs w:val="false"/>
          <w:color w:val="1A1A1A"/>
          <w:sz w:val="21"/>
          <w:szCs w:val="21"/>
        </w:rPr>
        <w:t xml:space="preserve">Open met een expliciete terugverwijzing naar deel 20.</w:t>
      </w:r>
      <w:r>
        <w:rPr>
          <w:rFonts w:ascii="Calibri" w:cs="Calibri" w:eastAsia="Calibri" w:hAnsi="Calibri"/>
          <w:b w:val="false"/>
          <w:bCs w:val="false"/>
          <w:i w:val="false"/>
          <w:iCs w:val="false"/>
          <w:color w:val="1A1A1A"/>
          <w:sz w:val="21"/>
          <w:szCs w:val="21"/>
        </w:rPr>
        <w:t xml:space="preserve"> Dit deel bestaat vanwege de bevinding uit het vorige deel — zonder die concrete aanleiding wordt governance al snel abstract en theoretisch. Herhaal aan het begin kort wat een deelnemer in deel 20 vond, en laat zien dat dit deel precies dát probleem oplost.</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20, "van meting naar structuur"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Operating model (§21.1)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21.1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1:00 – 1:25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Repository governance (§21.2)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21.2, 21.3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1:25 – 1:40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1:40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2:30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Kwaliteit meten en handhaven (§21.3)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2:30 – 2:50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2:50 – 3:05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3:05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feedbackloop institutionaliseren (§21.4)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21.4</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 §21.5 en §21.6 kort, opdracht 5 starten,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 + presentatie</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5 (het governancevoorstel) is de laatste grote deliverable vóór de capstone en loopt door na het dagdeel. Opdracht 6 (stellingen) kan bij tijdsdruk schriftelijk worden meegegeven.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Rollen toewijzen</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dat het hybride referentiemodel uit deel 18 het duidelijkste voorbeeld van een eigenaarschap-gat oplevert: het model wordt door vijf afdelingen gebruikt, geen van alle heeft er exclusief eigenaarschap over. Een goed antwoord stelt een oplossing voor — bijvoorbeeld een architectuurfunctie op programmaniveau die eigenaar is van gedeelde modellen, met de vijf afdelingseigenaren als eigenaar van hun eigen specifieke varianten.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Statusmodel ontwerpen</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of de vrijgavecriteria per overgang concreet zijn (niet alleen "goedgekeurd" maar door wie, op basis van welke toets) en of de gekozen notatie functioneel is — een deelnemer die voor de CMMN-milestone-variant kiest, toont goed begrip van de parallel tussen een modellevenscyclus en een caselevenscyclus (deel 17, §17.1).</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Kwaliteitsmeting</w:t>
      </w:r>
    </w:p>
    <w:p>
      <w:pPr>
        <w:spacing w:after="160" w:line="300"/>
        <w:jc w:val="left"/>
      </w:pPr>
      <w:r>
        <w:rPr>
          <w:rFonts w:ascii="Calibri" w:cs="Calibri" w:eastAsia="Calibri" w:hAnsi="Calibri"/>
          <w:b w:val="false"/>
          <w:bCs w:val="false"/>
          <w:i w:val="false"/>
          <w:iCs w:val="false"/>
          <w:color w:val="1A1A1A"/>
          <w:sz w:val="21"/>
          <w:szCs w:val="21"/>
        </w:rPr>
        <w:t xml:space="preserve">Geen uniek antwoord. Kernpunt van beoordeling: is er expliciet iets benoemd dat bewust niet gemeten wordt? Een deelnemer die drie indicatoren voorstelt zonder ooit "en dit meten we bewust niet" te schrijven, heeft de waarschuwing uit §21.3 en deel 11, §11.4 nog niet volledig doorleefd.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loop sluiten</w:t>
      </w:r>
    </w:p>
    <w:p>
      <w:pPr>
        <w:spacing w:after="160" w:line="300"/>
        <w:jc w:val="left"/>
      </w:pPr>
      <w:r>
        <w:rPr>
          <w:rFonts w:ascii="Calibri" w:cs="Calibri" w:eastAsia="Calibri" w:hAnsi="Calibri"/>
          <w:b w:val="false"/>
          <w:bCs w:val="false"/>
          <w:i w:val="false"/>
          <w:iCs w:val="false"/>
          <w:color w:val="1A1A1A"/>
          <w:sz w:val="21"/>
          <w:szCs w:val="21"/>
        </w:rPr>
        <w:t xml:space="preserve">Verwacht een concreet ritme (bijvoorbeeld: kwartaalcyclus, aansluitend bij reguliere managementrapportages), een duidelijke ontvanger (de procesbeheerder-rol uit §21.1) en een concrete escalatieregel bij herhaalde afwijkingen zonder besluit — bijvoorbeeld: na twee cycli zonder besluit gaat de bevinding automatisch naar de architect of proceseigenaar voor een verplichte reactie.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Governance-inrichting</w:t>
      </w:r>
    </w:p>
    <w:p>
      <w:pPr>
        <w:spacing w:after="160" w:line="300"/>
        <w:jc w:val="left"/>
      </w:pPr>
      <w:r>
        <w:rPr>
          <w:rFonts w:ascii="Calibri" w:cs="Calibri" w:eastAsia="Calibri" w:hAnsi="Calibri"/>
          <w:b w:val="false"/>
          <w:bCs w:val="false"/>
          <w:i w:val="false"/>
          <w:iCs w:val="false"/>
          <w:color w:val="1A1A1A"/>
          <w:sz w:val="21"/>
          <w:szCs w:val="21"/>
        </w:rPr>
        <w:t xml:space="preserve">Geen modelantwoord — beoordeel net als bij deel 11's modelleerrichtlijn (opdracht 3 daar) op verdedigbaarheid tegenover een directeur met tijdsdruk, niet op volledigheid om de volledigheid. Controleer specifiek: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het eigenaarschap-gat uit opdracht 1 daadwerkelijk opgelost, niet alleen benoemd?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feedbackloop uit opdracht 4 concreet genoeg om morgen te kunnen starten (een datum, een rol, een format), niet een vage intentie?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Blijft het voorstel binnen vier pagina's — een langer voorstel herhaalt de valkuil uit deel 11, §11.3.</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directe herhaling van §21.1's kernboodschap — laat deelnemers terugverwijzen naar hun eigen bevinding in opdracht 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nodig: sommige kwaliteitsaspecten zijn wel degelijk objectief meetbaar (structurele correctheid, deel 5 van niveau 1) en review is daar overkill; de stelling klopt vooral voor de semantische en stilistische kant.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 een goede samenvattende stelling voor het hele deel.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een goede aanleiding voor discussie over de verschillen tussen model- en datagovernance uit §21.6 — niet noodzakelijk dezelfde functie, wel vergelijkbare structuur.</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Governance behandelen als los van de mining-bevinding uit deel 20</w:t>
      </w:r>
      <w:r>
        <w:rPr>
          <w:rFonts w:ascii="Calibri" w:cs="Calibri" w:eastAsia="Calibri" w:hAnsi="Calibri"/>
          <w:b w:val="false"/>
          <w:bCs w:val="false"/>
          <w:i w:val="false"/>
          <w:iCs w:val="false"/>
          <w:color w:val="1A1A1A"/>
          <w:sz w:val="21"/>
          <w:szCs w:val="21"/>
        </w:rPr>
        <w:t xml:space="preserve"> — verlies de expliciete koppeling niet, dat is wat dit deel praktisch en niet-abstract houdt.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Rollen toewijzen zonder het eigenaarschap-gat op te lossen</w:t>
      </w:r>
      <w:r>
        <w:rPr>
          <w:rFonts w:ascii="Calibri" w:cs="Calibri" w:eastAsia="Calibri" w:hAnsi="Calibri"/>
          <w:b w:val="false"/>
          <w:bCs w:val="false"/>
          <w:i w:val="false"/>
          <w:iCs w:val="false"/>
          <w:color w:val="1A1A1A"/>
          <w:sz w:val="21"/>
          <w:szCs w:val="21"/>
        </w:rPr>
        <w:t xml:space="preserve"> — zie opdracht 1 en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Kwaliteitsmeting zonder expliciete "wat laten we los"</w:t>
      </w:r>
      <w:r>
        <w:rPr>
          <w:rFonts w:ascii="Calibri" w:cs="Calibri" w:eastAsia="Calibri" w:hAnsi="Calibri"/>
          <w:b w:val="false"/>
          <w:bCs w:val="false"/>
          <w:i w:val="false"/>
          <w:iCs w:val="false"/>
          <w:color w:val="1A1A1A"/>
          <w:sz w:val="21"/>
          <w:szCs w:val="21"/>
        </w:rPr>
        <w:t xml:space="preserve"> — zie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governancevoorstel dat, net als deel 11's valkuil, te lang en te volledig probeert te zijn</w:t>
      </w:r>
      <w:r>
        <w:rPr>
          <w:rFonts w:ascii="Calibri" w:cs="Calibri" w:eastAsia="Calibri" w:hAnsi="Calibri"/>
          <w:b w:val="false"/>
          <w:bCs w:val="false"/>
          <w:i w:val="false"/>
          <w:iCs w:val="false"/>
          <w:color w:val="1A1A1A"/>
          <w:sz w:val="21"/>
          <w:szCs w:val="21"/>
        </w:rPr>
        <w:t xml:space="preserve"> in plaats van kort en verdedigbaar.</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Rollen en eigenaarschap</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Rollen toegewezen zonder gat te herkennen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 herkend, niet opgelost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Gat herkend én een concrete oplossing voorgesteld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Statusmodel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Onvolledig of vage vrijgavecriteria</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Volledig, criteria summier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Volledig, criteria concreet en toetsbaar</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Kwaliteitsmeting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"wat laten we los"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"Wat laten we los" summier benoemd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Expliciet en beargumenteerd, in lijn met deel 11's waarschuwing</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Feedbackloop</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concreet ritme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Ritme benoemd, ontvanger onduidelijk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Ritme, ontvanger, en escalatieregel bij herhaling allemaal concreet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de bevindingen van elke deelnemer uit deel 20 beschikbaar als referentie, de modelleerrichtlijn en procesarchitectuur van elke deelnemer uit deel 11 beschikbaar.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21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2026-08-17T15:51:53.636Z</dcterms:created>
  <dcterms:modified xsi:type="dcterms:W3CDTF">2026-08-17T15:51:53.637Z</dcterms:modified>
</cp:coreProperties>
</file>

<file path=docProps/custom.xml><?xml version="1.0" encoding="utf-8"?>
<Properties xmlns="http://schemas.openxmlformats.org/officeDocument/2006/custom-properties" xmlns:vt="http://schemas.openxmlformats.org/officeDocument/2006/docPropsVTypes"/>
</file>