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21</w:t>
      </w:r>
    </w:p>
    <w:p>
      <w:pPr>
        <w:spacing w:after="300"/>
      </w:pPr>
      <w:r>
        <w:rPr>
          <w:rFonts w:ascii="Calibri" w:cs="Calibri" w:eastAsia="Calibri" w:hAnsi="Calibri"/>
          <w:b/>
          <w:bCs/>
          <w:color w:val="14213D"/>
          <w:sz w:val="34"/>
          <w:szCs w:val="34"/>
        </w:rPr>
        <w:t xml:space="preserve">Werkboek — Governance van modellen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(deliverable) individueel, opdracht 3 individueel, opdracht 4 in tweetallen, opdracht 5 (kerndeliverable) individueel met verwerkingstijd, opdracht 6 plenair. Reken op ± 3,5 uur in de les plus zelfstandige verwerkingstijd voor opdracht 5.</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Rollen toewijzen</w:t>
      </w:r>
    </w:p>
    <w:p>
      <w:pPr>
        <w:spacing w:after="160" w:line="300"/>
        <w:jc w:val="left"/>
      </w:pPr>
      <w:r>
        <w:rPr>
          <w:rFonts w:ascii="Calibri" w:cs="Calibri" w:eastAsia="Calibri" w:hAnsi="Calibri"/>
          <w:b w:val="false"/>
          <w:bCs w:val="false"/>
          <w:i w:val="false"/>
          <w:iCs w:val="false"/>
          <w:color w:val="1A1A1A"/>
          <w:sz w:val="21"/>
          <w:szCs w:val="21"/>
        </w:rPr>
        <w:t xml:space="preserve">Voor het Programma Mutatieplatform: wijs de vijf rollen uit §21.1 toe aan (fictieve of generieke) functies binnen Meridiaan. Benoem expliciet: welk model of welke modelfamilie heeft op dit moment geen duidelijke proceseigenaar, en waarom is dat zo (verwijs naar de snijdiscussie uit deel 11, opdracht 2, en het hybride referentiemodel uit deel 18)?</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Statusmodel ontwerpen *(deliverable)*</w:t>
      </w:r>
    </w:p>
    <w:p>
      <w:pPr>
        <w:spacing w:after="160" w:line="300"/>
        <w:jc w:val="left"/>
      </w:pPr>
      <w:r>
        <w:rPr>
          <w:rFonts w:ascii="Calibri" w:cs="Calibri" w:eastAsia="Calibri" w:hAnsi="Calibri"/>
          <w:b w:val="false"/>
          <w:bCs w:val="false"/>
          <w:i w:val="false"/>
          <w:iCs w:val="false"/>
          <w:color w:val="1A1A1A"/>
          <w:sz w:val="21"/>
          <w:szCs w:val="21"/>
        </w:rPr>
        <w:t xml:space="preserve">Ontwerp de levenscyclus van een model als toestandsdiagram: minimaal de vier statussen uit §21.2, met per overgang de vrijgavecriteria die vervuld moeten zijn. Gebruik hiervoor zelf een notatie naar keuze (een eenvoudig statusdiagram, of — als bewuste toepassing van je vak — een CMMN-milestone-structuur).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Kwaliteitsmeting</w:t>
      </w:r>
    </w:p>
    <w:p>
      <w:pPr>
        <w:spacing w:after="160" w:line="300"/>
        <w:jc w:val="left"/>
      </w:pPr>
      <w:r>
        <w:rPr>
          <w:rFonts w:ascii="Calibri" w:cs="Calibri" w:eastAsia="Calibri" w:hAnsi="Calibri"/>
          <w:b w:val="false"/>
          <w:bCs w:val="false"/>
          <w:i w:val="false"/>
          <w:iCs w:val="false"/>
          <w:color w:val="1A1A1A"/>
          <w:sz w:val="21"/>
          <w:szCs w:val="21"/>
        </w:rPr>
        <w:t xml:space="preserve">Formuleer drie meetbare indicatoren voor modelleerkwaliteit binnen het Mutatieplatform (bijvoorbeeld: percentage modellen dat de machinale toets doorstaat bij eerste indiening, gemiddelde doorlooptijd van een review, aantal modellen ouder dan een vastgestelde leeftijd zonder herbeoordeling). Benoem expliciet wat je bewust niet meet, en waarom (verwijs naar §21.3's waarschuwing tegen overhandhaving).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De loop sluiten *(tweetallen)*</w:t>
      </w:r>
    </w:p>
    <w:p>
      <w:pPr>
        <w:spacing w:after="160" w:line="300"/>
        <w:jc w:val="left"/>
      </w:pPr>
      <w:r>
        <w:rPr>
          <w:rFonts w:ascii="Calibri" w:cs="Calibri" w:eastAsia="Calibri" w:hAnsi="Calibri"/>
          <w:b w:val="false"/>
          <w:bCs w:val="false"/>
          <w:i w:val="false"/>
          <w:iCs w:val="false"/>
          <w:color w:val="1A1A1A"/>
          <w:sz w:val="21"/>
          <w:szCs w:val="21"/>
        </w:rPr>
        <w:t xml:space="preserve">Ontwerp het beheerritme dat de bevindingen uit deel 20 structureel laat landen: hoe vaak draait de conformance-analyse, wie ontvangt de uitkomst, binnen welke termijn moet een besluit volgen, en wat gebeurt er als een afwijking meerdere cycli op rij terugkeert zonder besluit (§21.4's signaal)?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Governance-inrichting *(kerndeliverable)*</w:t>
      </w:r>
    </w:p>
    <w:p>
      <w:pPr>
        <w:spacing w:after="160" w:line="300"/>
        <w:jc w:val="left"/>
      </w:pPr>
      <w:r>
        <w:rPr>
          <w:rFonts w:ascii="Calibri" w:cs="Calibri" w:eastAsia="Calibri" w:hAnsi="Calibri"/>
          <w:b w:val="false"/>
          <w:bCs w:val="false"/>
          <w:i w:val="false"/>
          <w:iCs w:val="false"/>
          <w:color w:val="1A1A1A"/>
          <w:sz w:val="21"/>
          <w:szCs w:val="21"/>
        </w:rPr>
        <w:t xml:space="preserve">Schrijf een compleet governancevoorstel voor het Programma Mutatieplatform, gericht aan de programmadirecteur.</w:t>
      </w:r>
    </w:p>
    <w:p>
      <w:pPr>
        <w:spacing w:after="160" w:line="300"/>
        <w:jc w:val="left"/>
      </w:pPr>
      <w:r>
        <w:rPr>
          <w:rFonts w:ascii="Calibri" w:cs="Calibri" w:eastAsia="Calibri" w:hAnsi="Calibri"/>
          <w:b/>
          <w:bCs/>
          <w:i w:val="false"/>
          <w:iCs w:val="false"/>
          <w:color w:val="1A1A1A"/>
          <w:sz w:val="21"/>
          <w:szCs w:val="21"/>
        </w:rPr>
        <w:t xml:space="preserve">Eisen: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Rollen en besluitrechten (voortbouwend op opdracht 1, met een concrete oplossing voor het eigenaarschap-gat dat je daar vond).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Statusmodel en publicatiestraat (voortbouwend op opdracht 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Kwaliteitsmeting (voortbouwend op opdracht 3), inclusief wat bewust wordt losgelaten.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beheerritme voor de mining-feedbackloop (voortbouwend op opdracht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Maximaal vier pagina's.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Modelgovernance zonder proceseigenaar is symboolpolitiek.</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Kwaliteit meet je het beste door niet te meten maar te reviewen.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governancestructuur die alles vastlegt, is even riskant als een structuur die niets vastlegt — het probleem is niet de hoeveelheid regels maar of ze gehandhaafd worden.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Model- en datagovernance zouden door dezelfde functie belegd moeten worden, niet door aparte rollen.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22 sluit niveau 2 af: examentraining voor OCEB 2 Business Intermediate en BPM+, en de capstone — een volledig ontwerp voor het Programma Mutatieplatform, inclusief een mondelinge verdediging voor een stuurgroep. Het governancevoorstel van vandaag is een van de deliverables die je daar bundelt.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2026-08-17T15:51:53.476Z</dcterms:created>
  <dcterms:modified xsi:type="dcterms:W3CDTF">2026-08-17T15:51:53.477Z</dcterms:modified>
</cp:coreProperties>
</file>

<file path=docProps/custom.xml><?xml version="1.0" encoding="utf-8"?>
<Properties xmlns="http://schemas.openxmlformats.org/officeDocument/2006/custom-properties" xmlns:vt="http://schemas.openxmlformats.org/officeDocument/2006/docPropsVTypes"/>
</file>