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2 — Praktijk · Deel 22</w:t>
      </w:r>
    </w:p>
    <w:p>
      <w:pPr>
        <w:spacing w:after="60"/>
      </w:pPr>
      <w:r>
        <w:rPr>
          <w:rFonts w:ascii="Calibri" w:cs="Calibri" w:eastAsia="Calibri" w:hAnsi="Calibri"/>
          <w:b/>
          <w:bCs/>
          <w:color w:val="14213D"/>
          <w:sz w:val="40"/>
          <w:szCs w:val="40"/>
        </w:rPr>
        <w:t xml:space="preserve">Examentraining en capstone niveau 2</w:t>
      </w:r>
    </w:p>
    <w:p>
      <w:pPr>
        <w:spacing w:after="300"/>
      </w:pPr>
      <w:r>
        <w:rPr>
          <w:rFonts w:ascii="Calibri" w:cs="Calibri" w:eastAsia="Calibri" w:hAnsi="Calibri"/>
          <w:i/>
          <w:iCs/>
          <w:color w:val="6B7280"/>
          <w:sz w:val="19"/>
          <w:szCs w:val="19"/>
        </w:rPr>
        <w:t xml:space="preserve">Deelnemersreader · Studielast ± 10 uur</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val="false"/>
                <w:bCs w:val="false"/>
                <w:i/>
                <w:iCs/>
                <w:color w:val="14213D"/>
                <w:sz w:val="20"/>
                <w:szCs w:val="20"/>
              </w:rPr>
              <w:t xml:space="preserve">Dit materiaal bereidt voor op het examen OCEB 2 Business Intermediate van de Object Management Group en op het BPM+ Certificate van BPMInstitute.org. De proefexamens in dit deel zijn door dit programma ontwikkeld ter oefening en zijn geen officiële examenvragen.</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Leerdoelen</w:t>
      </w:r>
    </w:p>
    <w:p>
      <w:pPr>
        <w:spacing w:after="160" w:line="300"/>
        <w:jc w:val="left"/>
      </w:pPr>
      <w:r>
        <w:rPr>
          <w:rFonts w:ascii="Calibri" w:cs="Calibri" w:eastAsia="Calibri" w:hAnsi="Calibri"/>
          <w:b w:val="false"/>
          <w:bCs w:val="false"/>
          <w:i w:val="false"/>
          <w:iCs w:val="false"/>
          <w:color w:val="1A1A1A"/>
          <w:sz w:val="21"/>
          <w:szCs w:val="21"/>
        </w:rPr>
        <w:t xml:space="preserve">Na dit deel kun je: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blauwdruk van OCEB 2 Business Intermediate benoemen en de vraagvormen herkennen.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model opleveren dat een Method &amp; Style-beoordeling doorstaat.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Alle stof van deel 11 tot en met 21 toepassen op een samenhangende programmaopgave.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Het resultaat onderbouwd verdedigen tegenover een kritische opdrachtgever.</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22.1 Examenblauwdruk OCEB 2 Business Intermediate</w:t>
      </w:r>
    </w:p>
    <w:p>
      <w:pPr>
        <w:spacing w:after="160" w:line="300"/>
        <w:jc w:val="left"/>
      </w:pPr>
      <w:r>
        <w:rPr>
          <w:rFonts w:ascii="Calibri" w:cs="Calibri" w:eastAsia="Calibri" w:hAnsi="Calibri"/>
          <w:b w:val="false"/>
          <w:bCs w:val="false"/>
          <w:i w:val="false"/>
          <w:iCs w:val="false"/>
          <w:color w:val="1A1A1A"/>
          <w:sz w:val="21"/>
          <w:szCs w:val="21"/>
        </w:rPr>
        <w:t xml:space="preserve">Waar Fundamental (niveau 1, deel 10) vooral definities en basisherkenning toetst, is Intermediate merkbaar toegepaster: meer scenario's, meer diagramanalyse, en vragen die een gegeven situatie beoordelen in plaats van een begrip benoemen. De onderdelen bouwen direct voort op wat in dit niveau is behandeld: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Onderdeel</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Kernonderwerp</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Behandeld in</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Business Process Architecture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Procesarchitectuur, afbakening, modelleerrichtlijnen</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Deel 11</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Business Process Analysis</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Discovery, knelpuntanalyse, ontwerpprincipes</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Deel 12</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Advanced Process Modeling</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Collaboration, foutafhandeling, data, resources</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Deel 13, deel 14</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Decision Management</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Decompositie, FEEL, regelbeheer</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Deel 15, deel 16</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Case Management</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CMMN gevorderd</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Deel 17</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Model Integration</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Combinatiepatronen</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Deel 18</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Governance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Rollen, repository, kwaliteit</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Deel 21</w:t>
            </w:r>
          </w:p>
        </w:tc>
      </w:tr>
    </w:tbl>
    <w:p>
      <w:pPr>
        <w:spacing w:before="200"/>
      </w:pPr>
    </w:p>
    <w:p>
      <w:pPr>
        <w:spacing w:after="160" w:line="300"/>
        <w:jc w:val="left"/>
      </w:pPr>
      <w:r>
        <w:rPr>
          <w:rFonts w:ascii="Calibri" w:cs="Calibri" w:eastAsia="Calibri" w:hAnsi="Calibri"/>
          <w:b w:val="false"/>
          <w:bCs w:val="false"/>
          <w:i w:val="false"/>
          <w:iCs w:val="false"/>
          <w:color w:val="1A1A1A"/>
          <w:sz w:val="21"/>
          <w:szCs w:val="21"/>
        </w:rPr>
        <w:t xml:space="preserve">Zoals bij Fundamental: controleer de actuele blauwdruk bij OMG voorafgaand aan inschrijving — percentages en precieze indeling kunnen zijn bijgesteld sinds het opstellen van dit materiaal.</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22.2 Method &amp; Style-beoordeling</w:t>
      </w:r>
    </w:p>
    <w:p>
      <w:pPr>
        <w:spacing w:after="160" w:line="300"/>
        <w:jc w:val="left"/>
      </w:pPr>
      <w:r>
        <w:rPr>
          <w:rFonts w:ascii="Calibri" w:cs="Calibri" w:eastAsia="Calibri" w:hAnsi="Calibri"/>
          <w:b w:val="false"/>
          <w:bCs w:val="false"/>
          <w:i w:val="false"/>
          <w:iCs w:val="false"/>
          <w:color w:val="1A1A1A"/>
          <w:sz w:val="21"/>
          <w:szCs w:val="21"/>
        </w:rPr>
        <w:t xml:space="preserve">Waar een meerkeuzevraag toetst of je een concept herkent, toetst </w:t>
      </w:r>
      <w:r>
        <w:rPr>
          <w:rFonts w:ascii="Calibri" w:cs="Calibri" w:eastAsia="Calibri" w:hAnsi="Calibri"/>
          <w:b/>
          <w:bCs/>
          <w:i w:val="false"/>
          <w:iCs w:val="false"/>
          <w:color w:val="1A1A1A"/>
          <w:sz w:val="21"/>
          <w:szCs w:val="21"/>
        </w:rPr>
        <w:t xml:space="preserve">Method &amp; Style</w:t>
      </w:r>
      <w:r>
        <w:rPr>
          <w:rFonts w:ascii="Calibri" w:cs="Calibri" w:eastAsia="Calibri" w:hAnsi="Calibri"/>
          <w:b w:val="false"/>
          <w:bCs w:val="false"/>
          <w:i w:val="false"/>
          <w:iCs w:val="false"/>
          <w:color w:val="1A1A1A"/>
          <w:sz w:val="21"/>
          <w:szCs w:val="21"/>
        </w:rPr>
        <w:t xml:space="preserve"> of je een concept kunt </w:t>
      </w:r>
      <w:r>
        <w:rPr>
          <w:rFonts w:ascii="Calibri" w:cs="Calibri" w:eastAsia="Calibri" w:hAnsi="Calibri"/>
          <w:b w:val="false"/>
          <w:bCs w:val="false"/>
          <w:i/>
          <w:iCs/>
          <w:color w:val="1A1A1A"/>
          <w:sz w:val="21"/>
          <w:szCs w:val="21"/>
        </w:rPr>
        <w:t xml:space="preserve">toepassen</w:t>
      </w:r>
      <w:r>
        <w:rPr>
          <w:rFonts w:ascii="Calibri" w:cs="Calibri" w:eastAsia="Calibri" w:hAnsi="Calibri"/>
          <w:b w:val="false"/>
          <w:bCs w:val="false"/>
          <w:i w:val="false"/>
          <w:iCs w:val="false"/>
          <w:color w:val="1A1A1A"/>
          <w:sz w:val="21"/>
          <w:szCs w:val="21"/>
        </w:rPr>
        <w:t xml:space="preserve"> in een model dat een beoordelaar accepteert. Dit is een wezenlijk andere vaardigheid, en de beoordelingscriteria verschillen van wat een simpele "is het structureel correct"-toets zou meten.</w:t>
      </w:r>
    </w:p>
    <w:p>
      <w:pPr>
        <w:spacing w:after="160" w:line="300"/>
        <w:jc w:val="left"/>
      </w:pPr>
      <w:r>
        <w:rPr>
          <w:rFonts w:ascii="Calibri" w:cs="Calibri" w:eastAsia="Calibri" w:hAnsi="Calibri"/>
          <w:b/>
          <w:bCs/>
          <w:i w:val="false"/>
          <w:iCs w:val="false"/>
          <w:color w:val="1A1A1A"/>
          <w:sz w:val="21"/>
          <w:szCs w:val="21"/>
        </w:rPr>
        <w:t xml:space="preserve">Waar een beoordelaar op let.</w:t>
      </w:r>
      <w:r>
        <w:rPr>
          <w:rFonts w:ascii="Calibri" w:cs="Calibri" w:eastAsia="Calibri" w:hAnsi="Calibri"/>
          <w:b w:val="false"/>
          <w:bCs w:val="false"/>
          <w:i w:val="false"/>
          <w:iCs w:val="false"/>
          <w:color w:val="1A1A1A"/>
          <w:sz w:val="21"/>
          <w:szCs w:val="21"/>
        </w:rPr>
        <w:t xml:space="preserve"> Naast structurele correctheid (deel 5 van niveau 1): consistente naamgeving door het hele model, een herkenbare happy path, correcte en volledige gatewaycondities, passende granulariteit (niet te grof, niet te fijn — deel 18, §18.3's vuistregel), en — specifiek voor DMN — een aantoonbaar volledige en consistente tabel met een verdedigbare hit policy-keuze.</w:t>
      </w:r>
    </w:p>
    <w:p>
      <w:pPr>
        <w:spacing w:after="160" w:line="300"/>
        <w:jc w:val="left"/>
      </w:pPr>
      <w:r>
        <w:rPr>
          <w:rFonts w:ascii="Calibri" w:cs="Calibri" w:eastAsia="Calibri" w:hAnsi="Calibri"/>
          <w:b/>
          <w:bCs/>
          <w:i w:val="false"/>
          <w:iCs w:val="false"/>
          <w:color w:val="1A1A1A"/>
          <w:sz w:val="21"/>
          <w:szCs w:val="21"/>
        </w:rPr>
        <w:t xml:space="preserve">Het verschil tussen "correct" en "acceptabel voor een beoordelaar".</w:t>
      </w:r>
      <w:r>
        <w:rPr>
          <w:rFonts w:ascii="Calibri" w:cs="Calibri" w:eastAsia="Calibri" w:hAnsi="Calibri"/>
          <w:b w:val="false"/>
          <w:bCs w:val="false"/>
          <w:i w:val="false"/>
          <w:iCs w:val="false"/>
          <w:color w:val="1A1A1A"/>
          <w:sz w:val="21"/>
          <w:szCs w:val="21"/>
        </w:rPr>
        <w:t xml:space="preserve"> Een model kan technisch foutloos zijn en toch worden afgekeurd omdat de modelleerstijl niet overtuigt — bijvoorbeeld een happy path die niet meteen opvalt (deel 5 van niveau 1, §5.2) of een decompositie die onnodig complex is voor het probleem (deel 15, §15.1). Method &amp; Style beoordeelt het geheel van het model, niet losse elementen.</w:t>
      </w:r>
    </w:p>
    <w:p>
      <w:pPr>
        <w:spacing w:after="160" w:line="300"/>
        <w:jc w:val="left"/>
      </w:pPr>
      <w:r>
        <w:rPr>
          <w:rFonts w:ascii="Calibri" w:cs="Calibri" w:eastAsia="Calibri" w:hAnsi="Calibri"/>
          <w:b/>
          <w:bCs/>
          <w:i w:val="false"/>
          <w:iCs w:val="false"/>
          <w:color w:val="1A1A1A"/>
          <w:sz w:val="21"/>
          <w:szCs w:val="21"/>
        </w:rPr>
        <w:t xml:space="preserve">Veelvoorkomende afkeurredenen.</w:t>
      </w:r>
      <w:r>
        <w:rPr>
          <w:rFonts w:ascii="Calibri" w:cs="Calibri" w:eastAsia="Calibri" w:hAnsi="Calibri"/>
          <w:b w:val="false"/>
          <w:bCs w:val="false"/>
          <w:i w:val="false"/>
          <w:iCs w:val="false"/>
          <w:color w:val="1A1A1A"/>
          <w:sz w:val="21"/>
          <w:szCs w:val="21"/>
        </w:rPr>
        <w:t xml:space="preserve"> Inconsistente naamgeving binnen één model, ontbrekende default flows of onvolledige condities, een tabel die technisch volledig is maar met een matig gekozen hit policy (bijvoorbeeld First waar Unique passender was), en modellen die meerdere niveaus (landschap/proces/subproces, deel 5 van niveau 1, §5.1) door elkaar tonen.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22.3 BPM+ Certificate</w:t>
      </w:r>
    </w:p>
    <w:p>
      <w:pPr>
        <w:spacing w:after="160" w:line="300"/>
        <w:jc w:val="left"/>
      </w:pPr>
      <w:r>
        <w:rPr>
          <w:rFonts w:ascii="Calibri" w:cs="Calibri" w:eastAsia="Calibri" w:hAnsi="Calibri"/>
          <w:b w:val="false"/>
          <w:bCs w:val="false"/>
          <w:i w:val="false"/>
          <w:iCs w:val="false"/>
          <w:color w:val="1A1A1A"/>
          <w:sz w:val="21"/>
          <w:szCs w:val="21"/>
        </w:rPr>
        <w:t xml:space="preserve">Het BPM+ Certificate van BPMInstitute.org onderscheidt zich van OCEB 2 door het expliciete integratiedeel: BPMN, DMN en CMMN worden niet los getoetst maar als samenhangend geheel, precies zoals in deel 18 van dit niveau geoefend. Waar OCEB 2 Business Intermediate deelvaardigheden apart toetst (zie de tabel in §22.1), toetst BPM+ of je die deelvaardigheden ook daadwerkelijk kunt combineren tot één werkend, samenhangend ontwerp — de kern van de "triple crown".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22.4 Twee proefexamens</w:t>
      </w:r>
    </w:p>
    <w:p>
      <w:pPr>
        <w:spacing w:after="160" w:line="300"/>
        <w:jc w:val="left"/>
      </w:pPr>
      <w:r>
        <w:rPr>
          <w:rFonts w:ascii="Calibri" w:cs="Calibri" w:eastAsia="Calibri" w:hAnsi="Calibri"/>
          <w:b w:val="false"/>
          <w:bCs w:val="false"/>
          <w:i w:val="false"/>
          <w:iCs w:val="false"/>
          <w:color w:val="1A1A1A"/>
          <w:sz w:val="21"/>
          <w:szCs w:val="21"/>
        </w:rPr>
        <w:t xml:space="preserve">Twee proefexamens van elk 25 vragen, 60 minuten, met een zwaartepunt op scenario- en diagramanalyse — zie het werkboek voor de volledige vragenset met antwoordsleutel en toelichting.</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22.5 Twee beoordeelde modelleeropdrachten</w:t>
      </w:r>
    </w:p>
    <w:p>
      <w:pPr>
        <w:spacing w:after="160" w:line="300"/>
        <w:jc w:val="left"/>
      </w:pPr>
      <w:r>
        <w:rPr>
          <w:rFonts w:ascii="Calibri" w:cs="Calibri" w:eastAsia="Calibri" w:hAnsi="Calibri"/>
          <w:b w:val="false"/>
          <w:bCs w:val="false"/>
          <w:i w:val="false"/>
          <w:iCs w:val="false"/>
          <w:color w:val="1A1A1A"/>
          <w:sz w:val="21"/>
          <w:szCs w:val="21"/>
        </w:rPr>
        <w:t xml:space="preserve">Naast de proefexamens: twee opdrachten die beoordeeld worden volgens Method &amp; Style-criteria in plaats van meerkeuze — één BPMN-model, één DMN-beslismodel. Dit is de directe, gecontroleerde oefening voor wat een echte Method &amp; Style-beoordeling van je vraagt.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22.6 De capstone</w:t>
      </w:r>
    </w:p>
    <w:p>
      <w:pPr>
        <w:spacing w:after="160" w:line="300"/>
        <w:jc w:val="left"/>
      </w:pPr>
      <w:r>
        <w:rPr>
          <w:rFonts w:ascii="Calibri" w:cs="Calibri" w:eastAsia="Calibri" w:hAnsi="Calibri"/>
          <w:b w:val="false"/>
          <w:bCs w:val="false"/>
          <w:i w:val="false"/>
          <w:iCs w:val="false"/>
          <w:color w:val="1A1A1A"/>
          <w:sz w:val="21"/>
          <w:szCs w:val="21"/>
        </w:rPr>
        <w:t xml:space="preserve">De capstone bundelt alle deliverables die je door niveau 2 heen hebt opgebouwd tot één samenhangend ontwerp voor het Programma Mutatieplatform, en sluit af met een mondelinge verdediging. Zie het werkboek voor de volledige opgave, de vaste vragenlijst en de beoordelingsrubric.</w:t>
      </w:r>
    </w:p>
    <w:p>
      <w:pPr>
        <w:pStyle w:val="Heading2"/>
        <w:pBdr>
          <w:bottom w:val="single" w:color="2563A8" w:sz="6" w:space="4"/>
        </w:pBdr>
        <w:spacing w:after="160" w:before="300"/>
      </w:pPr>
      <w:r>
        <w:rPr>
          <w:rFonts w:ascii="Calibri" w:cs="Calibri" w:eastAsia="Calibri" w:hAnsi="Calibri"/>
          <w:b/>
          <w:bCs/>
          <w:color w:val="2563A8"/>
          <w:sz w:val="24"/>
          <w:szCs w:val="24"/>
        </w:rPr>
        <w:t xml:space="preserve">Na de capstone</w:t>
      </w:r>
    </w:p>
    <w:p>
      <w:pPr>
        <w:spacing w:after="160" w:line="300"/>
        <w:jc w:val="left"/>
      </w:pPr>
      <w:r>
        <w:rPr>
          <w:rFonts w:ascii="Calibri" w:cs="Calibri" w:eastAsia="Calibri" w:hAnsi="Calibri"/>
          <w:b w:val="false"/>
          <w:bCs w:val="false"/>
          <w:i w:val="false"/>
          <w:iCs w:val="false"/>
          <w:color w:val="1A1A1A"/>
          <w:sz w:val="21"/>
          <w:szCs w:val="21"/>
        </w:rPr>
        <w:t xml:space="preserve">Niveau 2 sluit hiermee af. Niveau 3 (Meesterschap, deel 23 tot en met 30) verlegt de ambitie opnieuw: waar niveau 2 vroeg "kun je een opdrachtgever een bruikbaar, onderhoudbaar geheel opleveren", vraagt niveau 3 "kun je een procesarchitectuur op ondernemingsniveau ontwerpen en verdedigen, en de verandering leiden die daarbij hoort". Enterprise-architectuurkoppeling (deel 23), referentiemodellen (deel 24), de verdieping van procesmining (deel 25), compliance en control (deel 26), beslisautomatisering op schaal (deel 27), adaptive case management (deel 28) en transformatie leiden (deel 29) bouwen direct voort op wat in niveau 2 is gelegd. De casus Meridiaan loopt door, met een nog grotere en complexere opgave: niet langer één programma, maar de vraag hoe de hele organisatie procesgedreven verandert.</w:t>
      </w:r>
    </w:p>
    <w:p>
      <w:pPr>
        <w:pStyle w:val="Heading2"/>
        <w:pBdr>
          <w:bottom w:val="single" w:color="2563A8" w:sz="6" w:space="4"/>
        </w:pBdr>
        <w:spacing w:after="160" w:before="300"/>
      </w:pPr>
      <w:r>
        <w:rPr>
          <w:rFonts w:ascii="Calibri" w:cs="Calibri" w:eastAsia="Calibri" w:hAnsi="Calibri"/>
          <w:b/>
          <w:bCs/>
          <w:color w:val="2563A8"/>
          <w:sz w:val="24"/>
          <w:szCs w:val="24"/>
        </w:rPr>
        <w:t xml:space="preserve">Examenrelevantie</w:t>
      </w:r>
    </w:p>
    <w:p>
      <w:pPr>
        <w:spacing w:after="160" w:line="300"/>
        <w:jc w:val="left"/>
      </w:pPr>
      <w:r>
        <w:rPr>
          <w:rFonts w:ascii="Calibri" w:cs="Calibri" w:eastAsia="Calibri" w:hAnsi="Calibri"/>
          <w:b w:val="false"/>
          <w:bCs w:val="false"/>
          <w:i w:val="false"/>
          <w:iCs w:val="false"/>
          <w:color w:val="1A1A1A"/>
          <w:sz w:val="21"/>
          <w:szCs w:val="21"/>
        </w:rPr>
        <w:t xml:space="preserve">Dit hele deel is examenvoorbereiding. Zie §22.1 voor de blauwdruk en §22.2 voor de Method &amp; Style-criteria.</w:t>
      </w:r>
    </w:p>
    <w:p>
      <w:pPr>
        <w:pStyle w:val="Heading2"/>
        <w:pBdr>
          <w:bottom w:val="single" w:color="2563A8" w:sz="6" w:space="4"/>
        </w:pBdr>
        <w:spacing w:after="160" w:before="300"/>
      </w:pPr>
      <w:r>
        <w:rPr>
          <w:rFonts w:ascii="Calibri" w:cs="Calibri" w:eastAsia="Calibri" w:hAnsi="Calibri"/>
          <w:b/>
          <w:bCs/>
          <w:color w:val="2563A8"/>
          <w:sz w:val="24"/>
          <w:szCs w:val="24"/>
        </w:rPr>
        <w:t xml:space="preserve">Leeswijzer</w:t>
      </w:r>
    </w:p>
    <w:p>
      <w:pPr>
        <w:spacing w:after="160" w:line="300"/>
        <w:jc w:val="left"/>
      </w:pPr>
      <w:r>
        <w:rPr>
          <w:rFonts w:ascii="Calibri" w:cs="Calibri" w:eastAsia="Calibri" w:hAnsi="Calibri"/>
          <w:b w:val="false"/>
          <w:bCs w:val="false"/>
          <w:i w:val="false"/>
          <w:iCs w:val="false"/>
          <w:color w:val="1A1A1A"/>
          <w:sz w:val="21"/>
          <w:szCs w:val="21"/>
        </w:rPr>
        <w:t xml:space="preserve">Raadpleeg voorafgaand aan daadwerkelijke inschrijving voor OCEB 2 Business Intermediate de actuele blauwdruk op de officiële OMG-website. Voor BPM+ en Method &amp; Style: de officiële cursusmaterialen van BPMInstitute.org respectievelijk Bruce Silver / Trisotech.</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22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2026-08-17T15:51:54.045Z</dcterms:created>
  <dcterms:modified xsi:type="dcterms:W3CDTF">2026-08-17T15:51:54.046Z</dcterms:modified>
</cp:coreProperties>
</file>

<file path=docProps/custom.xml><?xml version="1.0" encoding="utf-8"?>
<Properties xmlns="http://schemas.openxmlformats.org/officeDocument/2006/custom-properties" xmlns:vt="http://schemas.openxmlformats.org/officeDocument/2006/docPropsVTypes"/>
</file>