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23</w:t>
      </w:r>
    </w:p>
    <w:p>
      <w:pPr>
        <w:spacing w:after="300"/>
      </w:pPr>
      <w:r>
        <w:rPr>
          <w:rFonts w:ascii="Calibri" w:cs="Calibri" w:eastAsia="Calibri" w:hAnsi="Calibri"/>
          <w:b/>
          <w:bCs/>
          <w:color w:val="14213D"/>
          <w:sz w:val="32"/>
          <w:szCs w:val="32"/>
        </w:rPr>
        <w:t xml:space="preserve">Docentenhandleiding — Enterprise-procesarchitectuur</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openingsdeel van niveau 3, en meteen een schaalsprong: van één programma (niveau 2) naar de hele onderneming. Dit deel is bewust zwaar — het zet de toon voor de rest van niveau 3, waarin elke opgave onderbepaald is en de deelnemer zelf moet bepalen wat "goed genoeg" betekent op ondernemingsschaal. Open met een korte terugblik op de capstone van deel 22, en benoem expliciet dat de casus nu verschuift van het Mutatieplatform-programma naar het Programma Stelselovergang — lees zelf vooraf `casusdossier-stelselovergang.md` volledig door; deelnemers zullen ernaar verwijzen vanaf dagdeel 1.</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w:t>
      </w:r>
    </w:p>
    <w:p>
      <w:pPr>
        <w:spacing w:after="160" w:line="300"/>
        <w:jc w:val="left"/>
      </w:pPr>
      <w:r>
        <w:rPr>
          <w:rFonts w:ascii="Calibri" w:cs="Calibri" w:eastAsia="Calibri" w:hAnsi="Calibri"/>
          <w:b/>
          <w:bCs/>
          <w:i w:val="false"/>
          <w:iCs w:val="false"/>
          <w:color w:val="1A1A1A"/>
          <w:sz w:val="21"/>
          <w:szCs w:val="21"/>
        </w:rPr>
        <w:t xml:space="preserve">Dagdeel 1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Introductie niveau 3, de casus verschuift naar de onderneming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0:20 – 0:45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§23.1 De EA-praktijk in het kort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0:45 – 1:10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1:10 – 1:35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§23.2 ArchiMate naast BPMN, §23.3 Capability → proces → applicatie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23.2, 23.3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1:35 – 1:50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1:50 – 2:10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2:10 – 2:35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§23.4 Wanneer welke taal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2:35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 starten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Dagdeel 2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afronden, kort nabespreken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0:20 – 0:45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§23.5 Impactanalyse bij systeemvervanging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23.4</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0:45 – 1:30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 – 1:45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1:45 – 2:05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§23.6 Twee repositories koppelen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2:05 – 2:25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2:25 – 2:50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§23.7 Architectuur bij een halfvoltooide transitie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23.5</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2:50 – 3:25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7,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Positioneer de lagen</w:t>
      </w:r>
    </w:p>
    <w:p>
      <w:pPr>
        <w:spacing w:after="160" w:line="300"/>
        <w:jc w:val="left"/>
      </w:pPr>
      <w:r>
        <w:rPr>
          <w:rFonts w:ascii="Calibri" w:cs="Calibri" w:eastAsia="Calibri" w:hAnsi="Calibri"/>
          <w:b w:val="false"/>
          <w:bCs w:val="false"/>
          <w:i w:val="false"/>
          <w:iCs w:val="false"/>
          <w:color w:val="1A1A1A"/>
          <w:sz w:val="21"/>
          <w:szCs w:val="21"/>
        </w:rPr>
        <w:t xml:space="preserve">Geen uniek antwoord. Verwacht dat deelnemers met ArchiMate-ervaring de neiging hebben alles naar ArchiMate te trekken, en deelnemers zonder die ervaring alles naar BPMN — benoem beide reflexen expliciet als je ze ziet, ze zijn het beste leermoment van deze opdracht. Het hybride referentiemodel uit deel 18 hoort in de businesslaag maar op een hoger abstractieniveau dan een individueel procesmodel — een goed antwoord onderscheidt die twee.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ArchiMate of BPMN</w:t>
      </w:r>
    </w:p>
    <w:p>
      <w:pPr>
        <w:spacing w:after="160" w:line="300"/>
        <w:jc w:val="left"/>
      </w:pPr>
      <w:r>
        <w:rPr>
          <w:rFonts w:ascii="Calibri" w:cs="Calibri" w:eastAsia="Calibri" w:hAnsi="Calibri"/>
          <w:b w:val="false"/>
          <w:bCs w:val="false"/>
          <w:i w:val="false"/>
          <w:iCs w:val="false"/>
          <w:color w:val="1A1A1A"/>
          <w:sz w:val="21"/>
          <w:szCs w:val="21"/>
        </w:rPr>
        <w:t xml:space="preserve">Praktische toets van §23.4. Bespreek plenair de situaties waar het antwoord minder eenduidig is (bijvoorbeeld: een impactanalyse die zowel het landschap als de precieze uitvoeringslogica nodig heeft) — die situaties zijn didactisch waardevoller dan de eenduidige.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Traceerbaarheidsketen bouwen</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of de gaten expliciet benoemd zijn, niet alleen of de keten compleet oogt — een keten die overal ingevuld is zonder enige onzekerheid te erkennen, is verdachter dan een keten met erkende gaten.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Impactanalyse legacy-vervanging</w:t>
      </w:r>
    </w:p>
    <w:p>
      <w:pPr>
        <w:spacing w:after="160" w:line="300"/>
        <w:jc w:val="left"/>
      </w:pPr>
      <w:r>
        <w:rPr>
          <w:rFonts w:ascii="Calibri" w:cs="Calibri" w:eastAsia="Calibri" w:hAnsi="Calibri"/>
          <w:b w:val="false"/>
          <w:bCs w:val="false"/>
          <w:i w:val="false"/>
          <w:iCs w:val="false"/>
          <w:color w:val="1A1A1A"/>
          <w:sz w:val="21"/>
          <w:szCs w:val="21"/>
        </w:rPr>
        <w:t xml:space="preserve">Dit is het meest realistische en het minst behandelde onderwerp in de literatuur — laat deelnemers zelf worstelen met de vraag hoeveel zekerheid ze kunnen claimen. Controleer specifiek of het betrouwbaarheidsoordeel per bevinding staat, niet als algemene disclaimer vooraf. Een deelnemer die alle bevindingen "hoog" beoordeelt zonder aantoonbaar complete keten, heeft §23.5 niet doorleefd.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Twee toestanden tegelijk</w:t>
      </w:r>
    </w:p>
    <w:p>
      <w:pPr>
        <w:spacing w:after="160" w:line="300"/>
        <w:jc w:val="left"/>
      </w:pPr>
      <w:r>
        <w:rPr>
          <w:rFonts w:ascii="Calibri" w:cs="Calibri" w:eastAsia="Calibri" w:hAnsi="Calibri"/>
          <w:b w:val="false"/>
          <w:bCs w:val="false"/>
          <w:i w:val="false"/>
          <w:iCs w:val="false"/>
          <w:color w:val="1A1A1A"/>
          <w:sz w:val="21"/>
          <w:szCs w:val="21"/>
        </w:rPr>
        <w:t xml:space="preserve">Verwacht dat tweetallen in eerste instantie twee aparte modellen maken (één voor het nieuwe platform, één voor het oude) in plaats van één architectuur met een gemarkeerde overgangslijn. Laat dat gebeuren en gebruik het als leermoment: twee aparte modellen verliezen precies de samenhang die een impactanalyse nodig heeft.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Repositorykoppeling ontwerpen</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op verdedigbaarheid. Een keuze voor synchroniseren zonder benoemd onderhoudsbudget, of een keuze voor een expliciete brug zonder vaste frequentie, is onvolledig.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kernboodschap van het deel.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 sommige deelnemers zullen tegenwerpen dat een gecombineerd model soms pragmatisch nodig is; laat ze concreet benoemen wanneer, en confronteer dat met het herleesbaarheidsverlies uit §23.2.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directe koppeling met opdracht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Verdeeld — een goede aanleiding om §23.6 nogmaals langs te lopen.</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Alles naar de eigen vertrouwde taal trekken</w:t>
      </w:r>
      <w:r>
        <w:rPr>
          <w:rFonts w:ascii="Calibri" w:cs="Calibri" w:eastAsia="Calibri" w:hAnsi="Calibri"/>
          <w:b w:val="false"/>
          <w:bCs w:val="false"/>
          <w:i w:val="false"/>
          <w:iCs w:val="false"/>
          <w:color w:val="1A1A1A"/>
          <w:sz w:val="21"/>
          <w:szCs w:val="21"/>
        </w:rPr>
        <w:t xml:space="preserve"> (ArchiMate of BPMN) in plaats van de vraag te laten bepalen welke taal past.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traceerbaarheidsketen zonder erkende gaten opleveren</w:t>
      </w:r>
      <w:r>
        <w:rPr>
          <w:rFonts w:ascii="Calibri" w:cs="Calibri" w:eastAsia="Calibri" w:hAnsi="Calibri"/>
          <w:b w:val="false"/>
          <w:bCs w:val="false"/>
          <w:i w:val="false"/>
          <w:iCs w:val="false"/>
          <w:color w:val="1A1A1A"/>
          <w:sz w:val="21"/>
          <w:szCs w:val="21"/>
        </w:rPr>
        <w:t xml:space="preserve"> — laat dit gebeuren in opdracht 3 en confronteer het in de nabespreking.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landschap als één toestand modelleren</w:t>
      </w:r>
      <w:r>
        <w:rPr>
          <w:rFonts w:ascii="Calibri" w:cs="Calibri" w:eastAsia="Calibri" w:hAnsi="Calibri"/>
          <w:b w:val="false"/>
          <w:bCs w:val="false"/>
          <w:i w:val="false"/>
          <w:iCs w:val="false"/>
          <w:color w:val="1A1A1A"/>
          <w:sz w:val="21"/>
          <w:szCs w:val="21"/>
        </w:rPr>
        <w:t xml:space="preserve"> in opdracht 5, in plaats van de overgang expliciet te tonen.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impactanalyse zonder betrouwbaarheidsoordeel</w:t>
      </w:r>
      <w:r>
        <w:rPr>
          <w:rFonts w:ascii="Calibri" w:cs="Calibri" w:eastAsia="Calibri" w:hAnsi="Calibri"/>
          <w:b w:val="false"/>
          <w:bCs w:val="false"/>
          <w:i w:val="false"/>
          <w:iCs w:val="false"/>
          <w:color w:val="1A1A1A"/>
          <w:sz w:val="21"/>
          <w:szCs w:val="21"/>
        </w:rPr>
        <w:t xml:space="preserve"> — de meest voorkomende fout in opdracht 4, en de belangrijkste om te corrigeren.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Taalkeuze (ArchiMate/BPMN)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consistente redenering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Redenering aanwezig, niet altijd consistent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Consistent toegepast kader, expliciet beargumenteerd per situatie</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Traceerbaarheidsketen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gaten erkend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Gaten benoemd, geen impact ingeschat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Gaten benoemd én de impact op betrouwbaarheid expliciet gemaakt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Impactanalyse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betrouwbaarheidsoordeel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Oordeel aanwezig, summier onderbouwd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Oordeel per bevinding, onderbouwd met de staat van de keten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Landschap in twee toestanden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 losse modellen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Eén model, overgang niet gemarkeerd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Eén model met expliciet gemarkeerde overgangslijn en platformkeuze per onderdeel</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`casusdossier-stelselovergang.md` beschikbaar (digitaal of gedrukt), tien artefacten uit niveau 1 en 2 als referentiemateriaal voor opdracht 1, acht situaties voor opdracht 2 als uitgereikt document, procesarchitectuur en modelleerrichtlijn van elke deelnemer uit deel 11 beschikbaar.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23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2026-08-17T15:51:55.233Z</dcterms:created>
  <dcterms:modified xsi:type="dcterms:W3CDTF">2026-08-17T15:51:55.234Z</dcterms:modified>
</cp:coreProperties>
</file>

<file path=docProps/custom.xml><?xml version="1.0" encoding="utf-8"?>
<Properties xmlns="http://schemas.openxmlformats.org/officeDocument/2006/custom-properties" xmlns:vt="http://schemas.openxmlformats.org/officeDocument/2006/docPropsVTypes"/>
</file>