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24</w:t>
      </w:r>
    </w:p>
    <w:p>
      <w:pPr>
        <w:spacing w:after="300"/>
      </w:pPr>
      <w:r>
        <w:rPr>
          <w:rFonts w:ascii="Calibri" w:cs="Calibri" w:eastAsia="Calibri" w:hAnsi="Calibri"/>
          <w:b/>
          <w:bCs/>
          <w:color w:val="14213D"/>
          <w:sz w:val="34"/>
          <w:szCs w:val="34"/>
        </w:rPr>
        <w:t xml:space="preserve">Werkboek — Referentiemodellen en sectorstandaarden</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individueel, opdracht 3 (deliverable) individueel, opdracht 4 (kerndeliverable) individueel met verwerkingstijd, opdracht 5 in tweetallen, opdracht 6 plenair. Eén dagdeel van 3,5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Match het model</w:t>
      </w:r>
    </w:p>
    <w:p>
      <w:pPr>
        <w:spacing w:after="160" w:line="300"/>
        <w:jc w:val="left"/>
      </w:pPr>
      <w:r>
        <w:rPr>
          <w:rFonts w:ascii="Calibri" w:cs="Calibri" w:eastAsia="Calibri" w:hAnsi="Calibri"/>
          <w:b w:val="false"/>
          <w:bCs w:val="false"/>
          <w:i w:val="false"/>
          <w:iCs w:val="false"/>
          <w:color w:val="1A1A1A"/>
          <w:sz w:val="21"/>
          <w:szCs w:val="21"/>
        </w:rPr>
        <w:t xml:space="preserve">Vijf situaties (uitgereikt document): bepaal per situatie welk referentiemodel uit §24.2-24.4 het meest bruikbare startpunt is, en waarom.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Tailoring-analyse</w:t>
      </w:r>
    </w:p>
    <w:p>
      <w:pPr>
        <w:spacing w:after="160" w:line="300"/>
        <w:jc w:val="left"/>
      </w:pPr>
      <w:r>
        <w:rPr>
          <w:rFonts w:ascii="Calibri" w:cs="Calibri" w:eastAsia="Calibri" w:hAnsi="Calibri"/>
          <w:b w:val="false"/>
          <w:bCs w:val="false"/>
          <w:i w:val="false"/>
          <w:iCs w:val="false"/>
          <w:color w:val="1A1A1A"/>
          <w:sz w:val="21"/>
          <w:szCs w:val="21"/>
        </w:rPr>
        <w:t xml:space="preserve">Gegeven een referentieprocesbeschrijving en de Meridiaan-praktijk (uitgereikt document): welke afwijkingen zijn functioneel nodig, en welke lijken historisch gegroeid zonder aanwijsbare reden? Onderscheid de twee expliciet.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Ketenstandaard vaststellen *(deliverable)*</w:t>
      </w:r>
    </w:p>
    <w:p>
      <w:pPr>
        <w:spacing w:after="160" w:line="300"/>
        <w:jc w:val="left"/>
      </w:pPr>
      <w:r>
        <w:rPr>
          <w:rFonts w:ascii="Calibri" w:cs="Calibri" w:eastAsia="Calibri" w:hAnsi="Calibri"/>
          <w:b w:val="false"/>
          <w:bCs w:val="false"/>
          <w:i w:val="false"/>
          <w:iCs w:val="false"/>
          <w:color w:val="1A1A1A"/>
          <w:sz w:val="21"/>
          <w:szCs w:val="21"/>
        </w:rPr>
        <w:t xml:space="preserve">Welke standaard is leidend in de waardeoverdrachtketen tussen Meridiaan, werkgevers en andere uitvoerders? Beschrijf hoe je dat vaststelt wanneer partijen het onderling oneens zijn — welke stappen doorloop je, wie raadpleeg je, hoe documenteer je de uitkomst?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Eigen referentiearchitectuur *(kerndeliverable)*</w:t>
      </w:r>
    </w:p>
    <w:p>
      <w:pPr>
        <w:spacing w:after="160" w:line="300"/>
        <w:jc w:val="left"/>
      </w:pPr>
      <w:r>
        <w:rPr>
          <w:rFonts w:ascii="Calibri" w:cs="Calibri" w:eastAsia="Calibri" w:hAnsi="Calibri"/>
          <w:b w:val="false"/>
          <w:bCs w:val="false"/>
          <w:i w:val="false"/>
          <w:iCs w:val="false"/>
          <w:color w:val="1A1A1A"/>
          <w:sz w:val="21"/>
          <w:szCs w:val="21"/>
        </w:rPr>
        <w:t xml:space="preserve">Ontwerp een bibliotheekopzet voor Meridiaan: welke bouwstenen neem je op (bouw voort op het hybride referentiemodel uit deel 18, §18.5), hoe onderhoud je de bibliotheek, en hoe meet je hergebruik? Maximaal drie pagina's.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Hergebruik meten *(tweetallen)*</w:t>
      </w:r>
    </w:p>
    <w:p>
      <w:pPr>
        <w:spacing w:after="160" w:line="300"/>
        <w:jc w:val="left"/>
      </w:pPr>
      <w:r>
        <w:rPr>
          <w:rFonts w:ascii="Calibri" w:cs="Calibri" w:eastAsia="Calibri" w:hAnsi="Calibri"/>
          <w:b w:val="false"/>
          <w:bCs w:val="false"/>
          <w:i w:val="false"/>
          <w:iCs w:val="false"/>
          <w:color w:val="1A1A1A"/>
          <w:sz w:val="21"/>
          <w:szCs w:val="21"/>
        </w:rPr>
        <w:t xml:space="preserve">Definieer drie indicatoren voor hergebruik van de referentiearchitectuur uit opdracht 4. Benoem per indicator hoe hij gemanipuleerd zou kunnen worden — bijvoorbeeld: een modelleur die triviale wijzigingen aan een bouwsteen aanbrengt om hem als "nieuw ontworpen" te laten tellen.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referentiemodel dat je zwaar moet tailoren, had je beter niet kunnen gebruiken.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Ongedocumenteerd afwijken is erger dan helemaal geen referentiemodel gebruiken.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Hergebruik meten is zinloos zolang niemand de bibliotheek kent.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De keuze tussen APQC PCF, BIAN en een eigen referentiearchitectuur is uiteindelijk een politieke keuze, geen inhoudelijke.</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25 verdiept de procesmining uit niveau 2, deel 20, en levert de mining-onderbouwde nulmeting op voor de stelselovergang. Wie deel 20 niet heeft gevolgd, vindt aan het begin van de reader een compact opfrisblok. De referentiearchitectuur van vandaag levert het model waartegen de mining-bevindingen van deel 25 worden getoetst.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2026-08-17T15:51:55.949Z</dcterms:created>
  <dcterms:modified xsi:type="dcterms:W3CDTF">2026-08-17T15:51:55.950Z</dcterms:modified>
</cp:coreProperties>
</file>

<file path=docProps/custom.xml><?xml version="1.0" encoding="utf-8"?>
<Properties xmlns="http://schemas.openxmlformats.org/officeDocument/2006/custom-properties" xmlns:vt="http://schemas.openxmlformats.org/officeDocument/2006/docPropsVTypes"/>
</file>