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3 — Meesterschap · Deel 25</w:t>
      </w:r>
    </w:p>
    <w:p>
      <w:pPr>
        <w:spacing w:after="300"/>
      </w:pPr>
      <w:r>
        <w:rPr>
          <w:rFonts w:ascii="Calibri" w:cs="Calibri" w:eastAsia="Calibri" w:hAnsi="Calibri"/>
          <w:b/>
          <w:bCs/>
          <w:color w:val="14213D"/>
          <w:sz w:val="32"/>
          <w:szCs w:val="32"/>
        </w:rPr>
        <w:t xml:space="preserve">Docentenhandleiding — Procesmining verdiept</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Sluit aan op deel 20 (conformance); samen vormen deel 20 en 25 de losse tweedaagse procesmining-cursus. Dit deel wordt daarnaast ook los aangeboden als vervolgmodule. </w:t>
      </w:r>
      <w:r>
        <w:rPr>
          <w:rFonts w:ascii="Calibri" w:cs="Calibri" w:eastAsia="Calibri" w:hAnsi="Calibri"/>
          <w:b/>
          <w:bCs/>
          <w:i w:val="false"/>
          <w:iCs w:val="false"/>
          <w:color w:val="1A1A1A"/>
          <w:sz w:val="21"/>
          <w:szCs w:val="21"/>
        </w:rPr>
        <w:t xml:space="preserve">Controleer bij de start van de groep of iedereen deel 20 heeft gevolgd.</w:t>
      </w:r>
      <w:r>
        <w:rPr>
          <w:rFonts w:ascii="Calibri" w:cs="Calibri" w:eastAsia="Calibri" w:hAnsi="Calibri"/>
          <w:b w:val="false"/>
          <w:bCs w:val="false"/>
          <w:i w:val="false"/>
          <w:iCs w:val="false"/>
          <w:color w:val="1A1A1A"/>
          <w:sz w:val="21"/>
          <w:szCs w:val="21"/>
        </w:rPr>
        <w:t xml:space="preserve"> Zo niet: behandel het opfrisblok uit de reader klassikaal (maximaal 10 minuten). Bij de tweedaagse variant (deel 20 en 25 aansluitend) sla je dit blok over — de reader is zo opgezet dat dat zonder gat kan.</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w:t>
      </w:r>
    </w:p>
    <w:p>
      <w:pPr>
        <w:spacing w:after="160" w:line="300"/>
        <w:jc w:val="left"/>
      </w:pPr>
      <w:r>
        <w:rPr>
          <w:rFonts w:ascii="Calibri" w:cs="Calibri" w:eastAsia="Calibri" w:hAnsi="Calibri"/>
          <w:b/>
          <w:bCs/>
          <w:i w:val="false"/>
          <w:iCs w:val="false"/>
          <w:color w:val="1A1A1A"/>
          <w:sz w:val="21"/>
          <w:szCs w:val="21"/>
        </w:rPr>
        <w:t xml:space="preserve">Dagdeel 1 (3,5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Opfrisblok (indien nodig) of directe start</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0:10 – 0:20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Omgeving: Retroductus, log uploaden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begeleid</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0:20 – 0:45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§25.1 Van bron naar log</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25.1</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0:45 – 1:25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1</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1:25 – 1:40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1:40 – 2:05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§25.2 Discovery-algoritmen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25.2</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2:05 – 2:35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2</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in Retroductus</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2:35 – 2:55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§25.3 De output kritisch lezen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25.3</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2:55 – 3:30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in Retroductus</w:t>
            </w:r>
          </w:p>
        </w:tc>
      </w:tr>
    </w:tbl>
    <w:p>
      <w:pPr>
        <w:spacing w:before="200"/>
      </w:pPr>
    </w:p>
    <w:p>
      <w:pPr>
        <w:spacing w:after="160" w:line="300"/>
        <w:jc w:val="left"/>
      </w:pPr>
      <w:r>
        <w:rPr>
          <w:rFonts w:ascii="Calibri" w:cs="Calibri" w:eastAsia="Calibri" w:hAnsi="Calibri"/>
          <w:b/>
          <w:bCs/>
          <w:i w:val="false"/>
          <w:iCs w:val="false"/>
          <w:color w:val="1A1A1A"/>
          <w:sz w:val="21"/>
          <w:szCs w:val="21"/>
        </w:rPr>
        <w:t xml:space="preserve">Dagdeel 2 (3,5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0:25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§25.4 Variantenanalyse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25.4</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0:25 – 1:10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1:10 – 1:35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§25.5 Performance-analyse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25.5</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1:35 – 1:50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1:50 – 2:15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§25.6 Simulatie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25.6</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2:15 – 2:50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Tweetallen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2:50 – 3:10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§25.7 Van bevinding naar investeringsafweging</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3:10 – 3:25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6 starten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3:25 – 3:30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7, vooruitblik</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Log-extractie ontwerpen</w:t>
      </w:r>
    </w:p>
    <w:p>
      <w:pPr>
        <w:spacing w:after="160" w:line="300"/>
        <w:jc w:val="left"/>
      </w:pPr>
      <w:r>
        <w:rPr>
          <w:rFonts w:ascii="Calibri" w:cs="Calibri" w:eastAsia="Calibri" w:hAnsi="Calibri"/>
          <w:b w:val="false"/>
          <w:bCs w:val="false"/>
          <w:i w:val="false"/>
          <w:iCs w:val="false"/>
          <w:color w:val="1A1A1A"/>
          <w:sz w:val="21"/>
          <w:szCs w:val="21"/>
        </w:rPr>
        <w:t xml:space="preserve">Praktische opdracht, geen uniek antwoord. Controleer of de vertekening expliciet benoemd wordt — een deelnemer die de extractie beschrijft zonder ooit "hierdoor vertekenen we X" te schrijven, heeft §25.1 niet doorleefd.</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Twee algoritmen, één log</w:t>
      </w:r>
    </w:p>
    <w:p>
      <w:pPr>
        <w:spacing w:after="160" w:line="300"/>
        <w:jc w:val="left"/>
      </w:pPr>
      <w:r>
        <w:rPr>
          <w:rFonts w:ascii="Calibri" w:cs="Calibri" w:eastAsia="Calibri" w:hAnsi="Calibri"/>
          <w:b w:val="false"/>
          <w:bCs w:val="false"/>
          <w:i w:val="false"/>
          <w:iCs w:val="false"/>
          <w:color w:val="1A1A1A"/>
          <w:sz w:val="21"/>
          <w:szCs w:val="21"/>
        </w:rPr>
        <w:t xml:space="preserve">Praktisch. Loop rond en help bij technische vragen over de Retroductus-interface. Verwacht dat de heuristic miner en de inductive miner zichtbaar verschillende modellen opleveren op een log met veel uitzonderingsgedrag — laat deelnemers dat verschil zelf benoemen voordat je het uitlegt.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Filter met mate</w:t>
      </w:r>
    </w:p>
    <w:p>
      <w:pPr>
        <w:spacing w:after="160" w:line="300"/>
        <w:jc w:val="left"/>
      </w:pPr>
      <w:r>
        <w:rPr>
          <w:rFonts w:ascii="Calibri" w:cs="Calibri" w:eastAsia="Calibri" w:hAnsi="Calibri"/>
          <w:b/>
          <w:bCs/>
          <w:i w:val="false"/>
          <w:iCs w:val="false"/>
          <w:color w:val="1A1A1A"/>
          <w:sz w:val="21"/>
          <w:szCs w:val="21"/>
        </w:rPr>
        <w:t xml:space="preserve">Het belangrijkste ethische moment van niveau 3.</w:t>
      </w:r>
      <w:r>
        <w:rPr>
          <w:rFonts w:ascii="Calibri" w:cs="Calibri" w:eastAsia="Calibri" w:hAnsi="Calibri"/>
          <w:b w:val="false"/>
          <w:bCs w:val="false"/>
          <w:i w:val="false"/>
          <w:iCs w:val="false"/>
          <w:color w:val="1A1A1A"/>
          <w:sz w:val="21"/>
          <w:szCs w:val="21"/>
        </w:rPr>
        <w:t xml:space="preserve"> Filteren tot het plaatje bevalt, is de meest verleidelijke vorm van onbedoeld bedrog in dit vak. Laat deelnemers zelf het punt bereiken waarop ze zich ongemakkelijk voelen bij hun eigen filter — waarschuw hier niet vooraf voor, laat het gebeuren en bevraag het in de nabespreking: "op welk filterniveau begon je je ongemakkelijk te voelen, en waarom precies daar?"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Variantenanalyse</w:t>
      </w:r>
    </w:p>
    <w:p>
      <w:pPr>
        <w:spacing w:after="160" w:line="300"/>
        <w:jc w:val="left"/>
      </w:pPr>
      <w:r>
        <w:rPr>
          <w:rFonts w:ascii="Calibri" w:cs="Calibri" w:eastAsia="Calibri" w:hAnsi="Calibri"/>
          <w:b w:val="false"/>
          <w:bCs w:val="false"/>
          <w:i w:val="false"/>
          <w:iCs w:val="false"/>
          <w:color w:val="1A1A1A"/>
          <w:sz w:val="21"/>
          <w:szCs w:val="21"/>
        </w:rPr>
        <w:t xml:space="preserve">Geen uniek antwoord. Beoordeel of de lange staart wordt vertaald naar een realistische ambitie — een deelnemer die concludeert "we standaardiseren alles" zonder de lange staart te adresseren, heeft de kern van §25.4 gemist.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Simulatie</w:t>
      </w:r>
    </w:p>
    <w:p>
      <w:pPr>
        <w:spacing w:after="160" w:line="300"/>
        <w:jc w:val="left"/>
      </w:pPr>
      <w:r>
        <w:rPr>
          <w:rFonts w:ascii="Calibri" w:cs="Calibri" w:eastAsia="Calibri" w:hAnsi="Calibri"/>
          <w:b w:val="false"/>
          <w:bCs w:val="false"/>
          <w:i w:val="false"/>
          <w:iCs w:val="false"/>
          <w:color w:val="1A1A1A"/>
          <w:sz w:val="21"/>
          <w:szCs w:val="21"/>
        </w:rPr>
        <w:t xml:space="preserve">Verwacht dat tweetallen in eerste instantie de aannames impliciet laten en direct een uitkomst presenteren. Vraag door: "wat gebeurt er met je uitkomst als deze aanname 20% afwijkt?" — als het antwoord "dan verandert er weinig" is, is de aanname niet bepalend; als het antwoord "dan klopt de hele uitkomst niet meer" is, hoort die aanname prominent in het eindresultaat.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Investeringsafweging</w:t>
      </w:r>
    </w:p>
    <w:p>
      <w:pPr>
        <w:spacing w:after="160" w:line="300"/>
        <w:jc w:val="left"/>
      </w:pPr>
      <w:r>
        <w:rPr>
          <w:rFonts w:ascii="Calibri" w:cs="Calibri" w:eastAsia="Calibri" w:hAnsi="Calibri"/>
          <w:b w:val="false"/>
          <w:bCs w:val="false"/>
          <w:i w:val="false"/>
          <w:iCs w:val="false"/>
          <w:color w:val="1A1A1A"/>
          <w:sz w:val="21"/>
          <w:szCs w:val="21"/>
        </w:rPr>
        <w:t xml:space="preserve">Geen uniek antwoord. Controleer expliciet op de onzekerheidsmarge — een voorstel met alleen puntschattingen (geen bandbreedte) is onvolledig, ongeacht hoe overtuigend het kosten-batenverhaal verder is.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7 — Stellingen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Sterk verdedigbaar, kernboodschap van §25.6.</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Directe herhaling van opdracht 3 — laat deelnemers terugverwijzen naar hun eigen ervaring daar.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Onjuist als absolute stelling: data en interviews zijn complementair (§25.5), geen hiërarchie.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Breed gedragen, sluit aan op de rode draad "elke keuze heeft een prijs" — hier: het weglaten van een onzekerheidsmarge is een keuze met een prijs.</w:t>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Veelgemaakte fouten in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Vertekening bij log-extractie niet benoemen</w:t>
      </w:r>
      <w:r>
        <w:rPr>
          <w:rFonts w:ascii="Calibri" w:cs="Calibri" w:eastAsia="Calibri" w:hAnsi="Calibri"/>
          <w:b w:val="false"/>
          <w:bCs w:val="false"/>
          <w:i w:val="false"/>
          <w:iCs w:val="false"/>
          <w:color w:val="1A1A1A"/>
          <w:sz w:val="21"/>
          <w:szCs w:val="21"/>
        </w:rPr>
        <w:t xml:space="preserve"> — zie opdracht 1.</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Doorfilteren tot het plaatje bevalt, zonder het zelf op te merken</w:t>
      </w:r>
      <w:r>
        <w:rPr>
          <w:rFonts w:ascii="Calibri" w:cs="Calibri" w:eastAsia="Calibri" w:hAnsi="Calibri"/>
          <w:b w:val="false"/>
          <w:bCs w:val="false"/>
          <w:i w:val="false"/>
          <w:iCs w:val="false"/>
          <w:color w:val="1A1A1A"/>
          <w:sz w:val="21"/>
          <w:szCs w:val="21"/>
        </w:rPr>
        <w:t xml:space="preserve"> — het kernleermoment van opdracht 3, laat het gebeuren.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 lange staart negeren bij het formuleren van een standaardisatieambitie</w:t>
      </w:r>
      <w:r>
        <w:rPr>
          <w:rFonts w:ascii="Calibri" w:cs="Calibri" w:eastAsia="Calibri" w:hAnsi="Calibri"/>
          <w:b w:val="false"/>
          <w:bCs w:val="false"/>
          <w:i w:val="false"/>
          <w:iCs w:val="false"/>
          <w:color w:val="1A1A1A"/>
          <w:sz w:val="21"/>
          <w:szCs w:val="21"/>
        </w:rPr>
        <w:t xml:space="preserve"> — zie opdracht 4.</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Simulatieaannames impliciet laten</w:t>
      </w:r>
      <w:r>
        <w:rPr>
          <w:rFonts w:ascii="Calibri" w:cs="Calibri" w:eastAsia="Calibri" w:hAnsi="Calibri"/>
          <w:b w:val="false"/>
          <w:bCs w:val="false"/>
          <w:i w:val="false"/>
          <w:iCs w:val="false"/>
          <w:color w:val="1A1A1A"/>
          <w:sz w:val="21"/>
          <w:szCs w:val="21"/>
        </w:rPr>
        <w:t xml:space="preserve"> — zie opdracht 5.</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Een investeringsvoorstel zonder onzekerheidsmarge</w:t>
      </w:r>
      <w:r>
        <w:rPr>
          <w:rFonts w:ascii="Calibri" w:cs="Calibri" w:eastAsia="Calibri" w:hAnsi="Calibri"/>
          <w:b w:val="false"/>
          <w:bCs w:val="false"/>
          <w:i w:val="false"/>
          <w:iCs w:val="false"/>
          <w:color w:val="1A1A1A"/>
          <w:sz w:val="21"/>
          <w:szCs w:val="21"/>
        </w:rPr>
        <w:t xml:space="preserve"> — zie opdracht 6.</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Goed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Log-extractie en vertekening</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Vertekening niet benoemd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Vertekening genoemd, niet gekwantificeerd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Vertekening benoemd én de gevolgen voor latere analyse expliciet gemaakt</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Kritisch lezen van filters</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Geen reflectie op eigen filterkeuze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Reflectie aanwezig, algemeen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Concreet punt benoemd waarop het ongemakkelijk werd, en waarom</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Variantenanalyse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Geen realistische ambitie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Ambitie benoemd, lange staart genegeerd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Ambitie expliciet afgestemd op de lange staart</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Investeringsafweging</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Geen onzekerheidsmarge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Marge genoemd, niet onderbouwd</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Marge onderbouwd en gekoppeld aan de kwaliteit van de onderliggende data</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Werkboek per deelnemer, toegang tot Retroductus voor elke deelnemer (vooraf gecontroleerd), de event log voor het legacy-polisadministratiesysteem en voor Deelnemermutaties als uitgereikt bestand, het referentiemodel uit deel 24 beschikbaar voor import als toetsingsbasis.</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25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2026-08-17T15:51:56.968Z</dcterms:created>
  <dcterms:modified xsi:type="dcterms:W3CDTF">2026-08-17T15:51:56.969Z</dcterms:modified>
</cp:coreProperties>
</file>

<file path=docProps/custom.xml><?xml version="1.0" encoding="utf-8"?>
<Properties xmlns="http://schemas.openxmlformats.org/officeDocument/2006/custom-properties" xmlns:vt="http://schemas.openxmlformats.org/officeDocument/2006/docPropsVTypes"/>
</file>