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2563A8"/>
          <w:sz w:val="20"/>
          <w:szCs w:val="20"/>
        </w:rPr>
        <w:t xml:space="preserve">BPMN, CMMN &amp; DMN</w:t>
      </w:r>
    </w:p>
    <w:p>
      <w:pPr>
        <w:spacing w:after="40"/>
      </w:pPr>
      <w:r>
        <w:rPr>
          <w:rFonts w:ascii="Calibri" w:cs="Calibri" w:eastAsia="Calibri" w:hAnsi="Calibri"/>
          <w:color w:val="6B7280"/>
          <w:sz w:val="22"/>
          <w:szCs w:val="22"/>
        </w:rPr>
        <w:t xml:space="preserve">Niveau 3 — Meesterschap · Deel 25</w:t>
      </w:r>
    </w:p>
    <w:p>
      <w:pPr>
        <w:spacing w:after="300"/>
      </w:pPr>
      <w:r>
        <w:rPr>
          <w:rFonts w:ascii="Calibri" w:cs="Calibri" w:eastAsia="Calibri" w:hAnsi="Calibri"/>
          <w:b/>
          <w:bCs/>
          <w:color w:val="14213D"/>
          <w:sz w:val="34"/>
          <w:szCs w:val="34"/>
        </w:rPr>
        <w:t xml:space="preserve">Werkboek — Procesmining verdiept</w:t>
      </w:r>
    </w:p>
    <w:p>
      <w:pPr>
        <w:spacing w:after="160" w:line="300"/>
        <w:jc w:val="left"/>
      </w:pPr>
      <w:r>
        <w:rPr>
          <w:rFonts w:ascii="Calibri" w:cs="Calibri" w:eastAsia="Calibri" w:hAnsi="Calibri"/>
          <w:b w:val="false"/>
          <w:bCs w:val="false"/>
          <w:i w:val="false"/>
          <w:iCs w:val="false"/>
          <w:color w:val="1A1A1A"/>
          <w:sz w:val="21"/>
          <w:szCs w:val="21"/>
        </w:rPr>
        <w:t xml:space="preserve">Werk de opdrachten in volgorde. Opdracht 1 individueel in Retroductus, opdracht 2 individueel in Retroductus, opdracht 3 individueel in Retroductus, opdracht 4 (kerndeliverable) individueel, opdracht 5 in tweetallen, opdracht 6 (deliverable) individueel, opdracht 7 plenair. Twee dagdelen van 3,5 uur, met een aanzienlijk deel praktisch werk in Retroductus.</w:t>
      </w:r>
    </w:p>
    <w:p>
      <w:pPr>
        <w:spacing w:after="160" w:line="300"/>
        <w:jc w:val="left"/>
      </w:pPr>
      <w:r>
        <w:rPr>
          <w:rFonts w:ascii="Calibri" w:cs="Calibri" w:eastAsia="Calibri" w:hAnsi="Calibri"/>
          <w:b/>
          <w:bCs/>
          <w:i w:val="false"/>
          <w:iCs w:val="false"/>
          <w:color w:val="1A1A1A"/>
          <w:sz w:val="21"/>
          <w:szCs w:val="21"/>
        </w:rPr>
        <w:t xml:space="preserve">Voorafgaand aan dagdeel 1:</w:t>
      </w:r>
      <w:r>
        <w:rPr>
          <w:rFonts w:ascii="Calibri" w:cs="Calibri" w:eastAsia="Calibri" w:hAnsi="Calibri"/>
          <w:b w:val="false"/>
          <w:bCs w:val="false"/>
          <w:i w:val="false"/>
          <w:iCs w:val="false"/>
          <w:color w:val="1A1A1A"/>
          <w:sz w:val="21"/>
          <w:szCs w:val="21"/>
        </w:rPr>
        <w:t xml:space="preserve"> log in op Retroductus en controleer dat je een event log kunt uploaden.</w:t>
      </w:r>
    </w:p>
    <w:p>
      <w:pPr>
        <w:pStyle w:val="Heading2"/>
        <w:pBdr>
          <w:bottom w:val="single" w:color="2563A8" w:sz="6" w:space="4"/>
        </w:pBdr>
        <w:spacing w:after="160" w:before="300"/>
      </w:pPr>
      <w:r>
        <w:rPr>
          <w:rFonts w:ascii="Calibri" w:cs="Calibri" w:eastAsia="Calibri" w:hAnsi="Calibri"/>
          <w:b/>
          <w:bCs/>
          <w:color w:val="2563A8"/>
          <w:sz w:val="24"/>
          <w:szCs w:val="24"/>
        </w:rPr>
        <w:t xml:space="preserve">Opdracht 1 — Log-extractie ontwerpen *(deliverable)*</w:t>
      </w:r>
    </w:p>
    <w:p>
      <w:pPr>
        <w:spacing w:after="160" w:line="300"/>
        <w:jc w:val="left"/>
      </w:pPr>
      <w:r>
        <w:rPr>
          <w:rFonts w:ascii="Calibri" w:cs="Calibri" w:eastAsia="Calibri" w:hAnsi="Calibri"/>
          <w:b w:val="false"/>
          <w:bCs w:val="false"/>
          <w:i w:val="false"/>
          <w:iCs w:val="false"/>
          <w:color w:val="1A1A1A"/>
          <w:sz w:val="21"/>
          <w:szCs w:val="21"/>
        </w:rPr>
        <w:t xml:space="preserve">Ontwerp voor het legacy-polisadministratiesysteem de extractie van een event log: welke tabellen gebruik je, welke transformaties zijn nodig, en welke vertekening accepteer je daarbij bewust (§25.1)? Maximaal twee pagina's.</w:t>
      </w:r>
    </w:p>
    <w:p>
      <w:pPr>
        <w:pStyle w:val="Heading2"/>
        <w:pBdr>
          <w:bottom w:val="single" w:color="2563A8" w:sz="6" w:space="4"/>
        </w:pBdr>
        <w:spacing w:after="160" w:before="300"/>
      </w:pPr>
      <w:r>
        <w:rPr>
          <w:rFonts w:ascii="Calibri" w:cs="Calibri" w:eastAsia="Calibri" w:hAnsi="Calibri"/>
          <w:b/>
          <w:bCs/>
          <w:color w:val="2563A8"/>
          <w:sz w:val="24"/>
          <w:szCs w:val="24"/>
        </w:rPr>
        <w:t xml:space="preserve">Opdracht 2 — Twee algoritmen, één log</w:t>
      </w:r>
    </w:p>
    <w:p>
      <w:pPr>
        <w:spacing w:after="160" w:line="300"/>
        <w:jc w:val="left"/>
      </w:pPr>
      <w:r>
        <w:rPr>
          <w:rFonts w:ascii="Calibri" w:cs="Calibri" w:eastAsia="Calibri" w:hAnsi="Calibri"/>
          <w:b w:val="false"/>
          <w:bCs w:val="false"/>
          <w:i w:val="false"/>
          <w:iCs w:val="false"/>
          <w:color w:val="1A1A1A"/>
          <w:sz w:val="21"/>
          <w:szCs w:val="21"/>
        </w:rPr>
        <w:t xml:space="preserve">Draai twee discovery-varianten in Retroductus op dezelfde log en verklaar het verschil tussen de twee resulterende modellen aan de hand van §25.2.</w:t>
      </w:r>
    </w:p>
    <w:p>
      <w:pPr>
        <w:pStyle w:val="Heading2"/>
        <w:pBdr>
          <w:bottom w:val="single" w:color="2563A8" w:sz="6" w:space="4"/>
        </w:pBdr>
        <w:spacing w:after="160" w:before="300"/>
      </w:pPr>
      <w:r>
        <w:rPr>
          <w:rFonts w:ascii="Calibri" w:cs="Calibri" w:eastAsia="Calibri" w:hAnsi="Calibri"/>
          <w:b/>
          <w:bCs/>
          <w:color w:val="2563A8"/>
          <w:sz w:val="24"/>
          <w:szCs w:val="24"/>
        </w:rPr>
        <w:t xml:space="preserve">Opdracht 3 — Filter met mate</w:t>
      </w:r>
    </w:p>
    <w:p>
      <w:pPr>
        <w:spacing w:after="160" w:line="300"/>
        <w:jc w:val="left"/>
      </w:pPr>
      <w:r>
        <w:rPr>
          <w:rFonts w:ascii="Calibri" w:cs="Calibri" w:eastAsia="Calibri" w:hAnsi="Calibri"/>
          <w:b w:val="false"/>
          <w:bCs w:val="false"/>
          <w:i w:val="false"/>
          <w:iCs w:val="false"/>
          <w:color w:val="1A1A1A"/>
          <w:sz w:val="21"/>
          <w:szCs w:val="21"/>
        </w:rPr>
        <w:t xml:space="preserve">Bekijk dezelfde log op drie filterniveaus (laag, gemiddeld, hoog). Documenteer per niveau: verheldert dit, of verbergt dit? Noteer het punt waarop je je voor het eerst ongemakkelijk voelt bij je eigen filterkeuze.</w:t>
      </w:r>
    </w:p>
    <w:p>
      <w:pPr>
        <w:pStyle w:val="Heading2"/>
        <w:pBdr>
          <w:bottom w:val="single" w:color="2563A8" w:sz="6" w:space="4"/>
        </w:pBdr>
        <w:spacing w:after="160" w:before="300"/>
      </w:pPr>
      <w:r>
        <w:rPr>
          <w:rFonts w:ascii="Calibri" w:cs="Calibri" w:eastAsia="Calibri" w:hAnsi="Calibri"/>
          <w:b/>
          <w:bCs/>
          <w:color w:val="2563A8"/>
          <w:sz w:val="24"/>
          <w:szCs w:val="24"/>
        </w:rPr>
        <w:t xml:space="preserve">Opdracht 4 — Variantenanalyse *(kerndeliverable)*</w:t>
      </w:r>
    </w:p>
    <w:p>
      <w:pPr>
        <w:spacing w:after="160" w:line="300"/>
        <w:jc w:val="left"/>
      </w:pPr>
      <w:r>
        <w:rPr>
          <w:rFonts w:ascii="Calibri" w:cs="Calibri" w:eastAsia="Calibri" w:hAnsi="Calibri"/>
          <w:b w:val="false"/>
          <w:bCs w:val="false"/>
          <w:i w:val="false"/>
          <w:iCs w:val="false"/>
          <w:color w:val="1A1A1A"/>
          <w:sz w:val="21"/>
          <w:szCs w:val="21"/>
        </w:rPr>
        <w:t xml:space="preserve">Hoeveel varianten kent het proces Deelnemermutaties werkelijk? Welk percentage van de gevallen dekken de meest voorkomende varianten, en wat betekent de lange staart voor een realistische standaardisatieambitie binnen het Programma Stelselovergang? Maximaal drie pagina's.</w:t>
      </w:r>
    </w:p>
    <w:p>
      <w:pPr>
        <w:pStyle w:val="Heading2"/>
        <w:pBdr>
          <w:bottom w:val="single" w:color="2563A8" w:sz="6" w:space="4"/>
        </w:pBdr>
        <w:spacing w:after="160" w:before="300"/>
      </w:pPr>
      <w:r>
        <w:rPr>
          <w:rFonts w:ascii="Calibri" w:cs="Calibri" w:eastAsia="Calibri" w:hAnsi="Calibri"/>
          <w:b/>
          <w:bCs/>
          <w:color w:val="2563A8"/>
          <w:sz w:val="24"/>
          <w:szCs w:val="24"/>
        </w:rPr>
        <w:t xml:space="preserve">Opdracht 5 — Simulatie *(tweetallen)*</w:t>
      </w:r>
    </w:p>
    <w:p>
      <w:pPr>
        <w:spacing w:after="160" w:line="300"/>
        <w:jc w:val="left"/>
      </w:pPr>
      <w:r>
        <w:rPr>
          <w:rFonts w:ascii="Calibri" w:cs="Calibri" w:eastAsia="Calibri" w:hAnsi="Calibri"/>
          <w:b w:val="false"/>
          <w:bCs w:val="false"/>
          <w:i w:val="false"/>
          <w:iCs w:val="false"/>
          <w:color w:val="1A1A1A"/>
          <w:sz w:val="21"/>
          <w:szCs w:val="21"/>
        </w:rPr>
        <w:t xml:space="preserve">Bouw een capaciteitsscenario voor de stelselovergangsperiode (bijvoorbeeld: een teamcapaciteit die tijdelijk daalt door opleiding op de nieuwe rekenregels). Benoem elke aanname expliciet, en beschrijf wat er met de uitkomst gebeurt als die aanname niet klopt.</w:t>
      </w:r>
    </w:p>
    <w:p>
      <w:pPr>
        <w:pStyle w:val="Heading2"/>
        <w:pBdr>
          <w:bottom w:val="single" w:color="2563A8" w:sz="6" w:space="4"/>
        </w:pBdr>
        <w:spacing w:after="160" w:before="300"/>
      </w:pPr>
      <w:r>
        <w:rPr>
          <w:rFonts w:ascii="Calibri" w:cs="Calibri" w:eastAsia="Calibri" w:hAnsi="Calibri"/>
          <w:b/>
          <w:bCs/>
          <w:color w:val="2563A8"/>
          <w:sz w:val="24"/>
          <w:szCs w:val="24"/>
        </w:rPr>
        <w:t xml:space="preserve">Opdracht 6 — Investeringsafweging *(deliverable)*</w:t>
      </w:r>
    </w:p>
    <w:p>
      <w:pPr>
        <w:spacing w:after="160" w:line="300"/>
        <w:jc w:val="left"/>
      </w:pPr>
      <w:r>
        <w:rPr>
          <w:rFonts w:ascii="Calibri" w:cs="Calibri" w:eastAsia="Calibri" w:hAnsi="Calibri"/>
          <w:b w:val="false"/>
          <w:bCs w:val="false"/>
          <w:i w:val="false"/>
          <w:iCs w:val="false"/>
          <w:color w:val="1A1A1A"/>
          <w:sz w:val="21"/>
          <w:szCs w:val="21"/>
        </w:rPr>
        <w:t xml:space="preserve">Kies één bottleneck uit je performance-analyse. Formuleer één voorstel om hem te verhelpen, met kosten, baten en een expliciete onzekerheidsmarge rond beide.</w:t>
      </w:r>
    </w:p>
    <w:p>
      <w:pPr>
        <w:pStyle w:val="Heading2"/>
        <w:pBdr>
          <w:bottom w:val="single" w:color="2563A8" w:sz="6" w:space="4"/>
        </w:pBdr>
        <w:spacing w:after="160" w:before="300"/>
      </w:pPr>
      <w:r>
        <w:rPr>
          <w:rFonts w:ascii="Calibri" w:cs="Calibri" w:eastAsia="Calibri" w:hAnsi="Calibri"/>
          <w:b/>
          <w:bCs/>
          <w:color w:val="2563A8"/>
          <w:sz w:val="24"/>
          <w:szCs w:val="24"/>
        </w:rPr>
        <w:t xml:space="preserve">Opdracht 7 — Stellingen *(plenair)*</w:t>
      </w:r>
    </w:p>
    <w:p>
      <w:pPr>
        <w:pStyle w:val="ListParagraph"/>
        <w:numPr>
          <w:ilvl w:val="0"/>
          <w:numId w:val="1"/>
        </w:numPr>
        <w:spacing w:after="100" w:line="290"/>
      </w:pPr>
      <w:r>
        <w:rPr>
          <w:rFonts w:ascii="Calibri" w:cs="Calibri" w:eastAsia="Calibri" w:hAnsi="Calibri"/>
          <w:b w:val="false"/>
          <w:bCs w:val="false"/>
          <w:i/>
          <w:iCs/>
          <w:color w:val="1A1A1A"/>
          <w:sz w:val="21"/>
          <w:szCs w:val="21"/>
        </w:rPr>
        <w:t xml:space="preserve">Een simulatie met slechte aannames is gevaarlijker dan geen simulatie.</w:t>
      </w:r>
    </w:p>
    <w:p>
      <w:pPr>
        <w:pStyle w:val="ListParagraph"/>
        <w:numPr>
          <w:ilvl w:val="0"/>
          <w:numId w:val="1"/>
        </w:numPr>
        <w:spacing w:after="100" w:line="290"/>
      </w:pPr>
      <w:r>
        <w:rPr>
          <w:rFonts w:ascii="Calibri" w:cs="Calibri" w:eastAsia="Calibri" w:hAnsi="Calibri"/>
          <w:b w:val="false"/>
          <w:bCs w:val="false"/>
          <w:i/>
          <w:iCs/>
          <w:color w:val="1A1A1A"/>
          <w:sz w:val="21"/>
          <w:szCs w:val="21"/>
        </w:rPr>
        <w:t xml:space="preserve">Filteren tot het plaatje mooi is, is de meest onschuldig ogende vorm van bedrog in dit vak.</w:t>
      </w:r>
    </w:p>
    <w:p>
      <w:pPr>
        <w:pStyle w:val="ListParagraph"/>
        <w:numPr>
          <w:ilvl w:val="0"/>
          <w:numId w:val="1"/>
        </w:numPr>
        <w:spacing w:after="100" w:line="290"/>
      </w:pPr>
      <w:r>
        <w:rPr>
          <w:rFonts w:ascii="Calibri" w:cs="Calibri" w:eastAsia="Calibri" w:hAnsi="Calibri"/>
          <w:b w:val="false"/>
          <w:bCs w:val="false"/>
          <w:i/>
          <w:iCs/>
          <w:color w:val="1A1A1A"/>
          <w:sz w:val="21"/>
          <w:szCs w:val="21"/>
        </w:rPr>
        <w:t xml:space="preserve">Databewijs uit mining weegt zwaarder dan een interview — altijd.</w:t>
      </w:r>
    </w:p>
    <w:p>
      <w:pPr>
        <w:pStyle w:val="ListParagraph"/>
        <w:numPr>
          <w:ilvl w:val="0"/>
          <w:numId w:val="1"/>
        </w:numPr>
        <w:spacing w:after="100" w:line="290"/>
      </w:pPr>
      <w:r>
        <w:rPr>
          <w:rFonts w:ascii="Calibri" w:cs="Calibri" w:eastAsia="Calibri" w:hAnsi="Calibri"/>
          <w:b w:val="false"/>
          <w:bCs w:val="false"/>
          <w:i/>
          <w:iCs/>
          <w:color w:val="1A1A1A"/>
          <w:sz w:val="21"/>
          <w:szCs w:val="21"/>
        </w:rPr>
        <w:t xml:space="preserve">Een investeringsvoorstel zonder onzekerheidsmarge is verkoop, geen analyse.</w:t>
      </w:r>
    </w:p>
    <w:p>
      <w:pPr>
        <w:pStyle w:val="Heading2"/>
        <w:pBdr>
          <w:bottom w:val="single" w:color="2563A8" w:sz="6" w:space="4"/>
        </w:pBdr>
        <w:spacing w:after="160" w:before="300"/>
      </w:pPr>
      <w:r>
        <w:rPr>
          <w:rFonts w:ascii="Calibri" w:cs="Calibri" w:eastAsia="Calibri" w:hAnsi="Calibri"/>
          <w:b/>
          <w:bCs/>
          <w:color w:val="2563A8"/>
          <w:sz w:val="24"/>
          <w:szCs w:val="24"/>
        </w:rPr>
        <w:t xml:space="preserve">Vooruitblik</w:t>
      </w:r>
    </w:p>
    <w:p>
      <w:pPr>
        <w:spacing w:after="160" w:line="300"/>
        <w:jc w:val="left"/>
      </w:pPr>
      <w:r>
        <w:rPr>
          <w:rFonts w:ascii="Calibri" w:cs="Calibri" w:eastAsia="Calibri" w:hAnsi="Calibri"/>
          <w:b w:val="false"/>
          <w:bCs w:val="false"/>
          <w:i w:val="false"/>
          <w:iCs w:val="false"/>
          <w:color w:val="1A1A1A"/>
          <w:sz w:val="21"/>
          <w:szCs w:val="21"/>
        </w:rPr>
        <w:t xml:space="preserve">Deel 26 bouwt op deze nulmeting voort: compliance, risk en control in modellen, met de audit trail-specificatie als kerndeliverable. De datakwaliteitsproblemen die je in opdracht 1 en 3 tegenkwam, komen daar terug als aanleiding voor DNB's datakwaliteitseisen bij invaren.</w:t>
      </w:r>
    </w:p>
    <w:sectPr>
      <w:headerReference w:type="default" r:id="rId7"/>
      <w:footerReference w:type="default" r:id="rId8"/>
      <w:pgSz w:w="11906" w:h="16838"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280"/>
        <w:sz w:val="15"/>
        <w:szCs w:val="15"/>
      </w:rPr>
      <w:t xml:space="preserve">BPMN, CMMN &amp; DMN — </w:t>
    </w:r>
    <w:r>
      <w:rPr>
        <w:rFonts w:ascii="Calibri" w:cs="Calibri" w:eastAsia="Calibri" w:hAnsi="Calibri"/>
        <w:color w:val="6B7280"/>
        <w:sz w:val="15"/>
        <w:szCs w:val="15"/>
      </w:rPr>
      <w:t xml:space="preserve">pagina </w:t>
    </w:r>
    <w:r>
      <w:rPr>
        <w:rFonts w:ascii="Calibri" w:cs="Calibri" w:eastAsia="Calibri" w:hAnsi="Calibri"/>
        <w:color w:val="6B7280"/>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6B7280"/>
        <w:sz w:val="16"/>
        <w:szCs w:val="16"/>
      </w:rPr>
      <w:t xml:space="preserve">Deel 25 · Werkboek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2026-08-17T15:51:56.808Z</dcterms:created>
  <dcterms:modified xsi:type="dcterms:W3CDTF">2026-08-17T15:51:56.809Z</dcterms:modified>
</cp:coreProperties>
</file>

<file path=docProps/custom.xml><?xml version="1.0" encoding="utf-8"?>
<Properties xmlns="http://schemas.openxmlformats.org/officeDocument/2006/custom-properties" xmlns:vt="http://schemas.openxmlformats.org/officeDocument/2006/docPropsVTypes"/>
</file>