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26</w:t>
      </w:r>
    </w:p>
    <w:p>
      <w:pPr>
        <w:spacing w:after="300"/>
      </w:pPr>
      <w:r>
        <w:rPr>
          <w:rFonts w:ascii="Calibri" w:cs="Calibri" w:eastAsia="Calibri" w:hAnsi="Calibri"/>
          <w:b/>
          <w:bCs/>
          <w:color w:val="14213D"/>
          <w:sz w:val="32"/>
          <w:szCs w:val="32"/>
        </w:rPr>
        <w:t xml:space="preserve">Docentenhandleiding — Compliance, risk en control in modellen</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Bouwt rechtstreeks op de nulmeting uit deel 25 voort: de datakwaliteitsproblemen die daar zichtbaar werden, zijn hier de aanleiding voor DNB's eisen aan aantoonbaarheid bij invaren. Open met een korte terugverwijzing naar de meest opvallende bevinding uit deel 25 van de groep, en laat zien dat dit deel daar een antwoord op geeft: niet het probleem oplossen, maar het aantoonbaar beheersen.</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4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25, aanleiding vanuit de nulmeting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§26.1-26.2 Van beleid naar maatregel, vier controlpatronen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26.1, 26.2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0:35 – 1:00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1:00 – 1:30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1:30 – 1:45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1:45 – 2:05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§26.3 Toezicht vertaald naar ontwerpeisen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26.3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2:05 – 2:30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2:30 – 2:50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§26.4 Privacy en gegevensminimalisatie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26.4</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2:50 – 3:05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3:05 – 3:20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3:20 – 3:35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§26.5-26.6 Audit trail, versiebeheer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26.5</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3:35 – 4:00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5 starten, §26.7, opdracht 6, vooruitblik</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tweetallen</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Opdracht 5 (audit trail-specificatie) loopt door na het dagdeel. Opdracht 6 (control bij casewerk) is de directe voortzetting van het autonomiegesprek uit deel 17 en verdient minimaal 25 minuten, ook als dat ten koste gaat van tijd elders.</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Risico naar maatregel naar model</w:t>
      </w:r>
    </w:p>
    <w:p>
      <w:pPr>
        <w:spacing w:after="160" w:line="300"/>
        <w:jc w:val="left"/>
      </w:pPr>
      <w:r>
        <w:rPr>
          <w:rFonts w:ascii="Calibri" w:cs="Calibri" w:eastAsia="Calibri" w:hAnsi="Calibri"/>
          <w:b w:val="false"/>
          <w:bCs w:val="false"/>
          <w:i w:val="false"/>
          <w:iCs w:val="false"/>
          <w:color w:val="1A1A1A"/>
          <w:sz w:val="21"/>
          <w:szCs w:val="21"/>
        </w:rPr>
        <w:t xml:space="preserve">Geen uniek antwoord. Controleer of het modelpatroon concreet is (welke taak, welke performer-eis) en niet blijft steken op het niveau van de maatregel zelf ("meer controle") zonder vertaling naar een modelelement.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Modelleer de controls</w:t>
      </w:r>
    </w:p>
    <w:p>
      <w:pPr>
        <w:spacing w:after="160" w:line="300"/>
        <w:jc w:val="left"/>
      </w:pPr>
      <w:r>
        <w:rPr>
          <w:rFonts w:ascii="Calibri" w:cs="Calibri" w:eastAsia="Calibri" w:hAnsi="Calibri"/>
          <w:b w:val="false"/>
          <w:bCs w:val="false"/>
          <w:i w:val="false"/>
          <w:iCs w:val="false"/>
          <w:color w:val="1A1A1A"/>
          <w:sz w:val="21"/>
          <w:szCs w:val="21"/>
        </w:rPr>
        <w:t xml:space="preserve">Praktische toepassing. Verwacht dat sommige deelnemers functiescheiding modelleren als tekstuele annotatie in plaats van als afdwingbare performer-toewijzing — corrigeer dit, een annotatie is geen modelelement in de zin van §26.1.</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Toezichtvraag beantwoorden</w:t>
      </w:r>
    </w:p>
    <w:p>
      <w:pPr>
        <w:spacing w:after="160" w:line="300"/>
        <w:jc w:val="left"/>
      </w:pPr>
      <w:r>
        <w:rPr>
          <w:rFonts w:ascii="Calibri" w:cs="Calibri" w:eastAsia="Calibri" w:hAnsi="Calibri"/>
          <w:b w:val="false"/>
          <w:bCs w:val="false"/>
          <w:i w:val="false"/>
          <w:iCs w:val="false"/>
          <w:color w:val="1A1A1A"/>
          <w:sz w:val="21"/>
          <w:szCs w:val="21"/>
        </w:rPr>
        <w:t xml:space="preserve">Beoordeel of elk deel van het antwoord daadwerkelijk naar een modelelement verwijst, niet naar een algemene bewering over het proces. Een antwoord dat zegt "wij doen aan datakwaliteitscontrole" zonder het modelelement te tonen, beantwoordt de toezichtvraag niet.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Gegevensminimalisatie</w:t>
      </w:r>
    </w:p>
    <w:p>
      <w:pPr>
        <w:spacing w:after="160" w:line="300"/>
        <w:jc w:val="left"/>
      </w:pPr>
      <w:r>
        <w:rPr>
          <w:rFonts w:ascii="Calibri" w:cs="Calibri" w:eastAsia="Calibri" w:hAnsi="Calibri"/>
          <w:b w:val="false"/>
          <w:bCs w:val="false"/>
          <w:i w:val="false"/>
          <w:iCs w:val="false"/>
          <w:color w:val="1A1A1A"/>
          <w:sz w:val="21"/>
          <w:szCs w:val="21"/>
        </w:rPr>
        <w:t xml:space="preserve">Geen uniek antwoord. De meest voorkomende valkuil: een deelnemer stelt vast dat een stap te veel gegevens raakt, maar herontwerpt hem niet — benoemen zonder oplossen is bij dit deel onvoldoende, in tegenstelling tot bijvoorbeeld deel 24 waar benoemen van een gat op zichzelf al waarde had.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Audit trail-specificatie</w:t>
      </w:r>
    </w:p>
    <w:p>
      <w:pPr>
        <w:spacing w:after="160" w:line="300"/>
        <w:jc w:val="left"/>
      </w:pPr>
      <w:r>
        <w:rPr>
          <w:rFonts w:ascii="Calibri" w:cs="Calibri" w:eastAsia="Calibri" w:hAnsi="Calibri"/>
          <w:b w:val="false"/>
          <w:bCs w:val="false"/>
          <w:i w:val="false"/>
          <w:iCs w:val="false"/>
          <w:color w:val="1A1A1A"/>
          <w:sz w:val="21"/>
          <w:szCs w:val="21"/>
        </w:rPr>
        <w:t xml:space="preserve">Geen modelantwoord. Controleer specifiek: staat er een concrete bewaartermijn (niet "lang genoeg")? Is de reconstructie voor de deelnemer zelf ook mogelijk te presenteren op een manier die aan art. 48 Pw (correct, duidelijk, evenwichtig) voldoet, of is het alleen intern bruikbaar?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Control bij casewerk</w:t>
      </w:r>
    </w:p>
    <w:p>
      <w:pPr>
        <w:spacing w:after="160" w:line="300"/>
        <w:jc w:val="left"/>
      </w:pPr>
      <w:r>
        <w:rPr>
          <w:rFonts w:ascii="Calibri" w:cs="Calibri" w:eastAsia="Calibri" w:hAnsi="Calibri"/>
          <w:b/>
          <w:bCs/>
          <w:i w:val="false"/>
          <w:iCs w:val="false"/>
          <w:color w:val="1A1A1A"/>
          <w:sz w:val="21"/>
          <w:szCs w:val="21"/>
        </w:rPr>
        <w:t xml:space="preserve">Dit is de directe voortzetting van het autonomiegesprek uit deel 17 en het scherpst van dit deel.</w:t>
      </w:r>
      <w:r>
        <w:rPr>
          <w:rFonts w:ascii="Calibri" w:cs="Calibri" w:eastAsia="Calibri" w:hAnsi="Calibri"/>
          <w:b w:val="false"/>
          <w:bCs w:val="false"/>
          <w:i w:val="false"/>
          <w:iCs w:val="false"/>
          <w:color w:val="1A1A1A"/>
          <w:sz w:val="21"/>
          <w:szCs w:val="21"/>
        </w:rPr>
        <w:t xml:space="preserve"> Verwacht dat deelnemers met een compliance-achtergrond doorslaan naar zware beheersing en deelnemers met een operationele achtergrond naar behoud van autonomie — meng de tweetallen bewust zodat beide perspectieven in één uitwerking terechtkomen. Een goed antwoord kiest niet klakkeloos voor de zwaarste variant; het beargumenteert welke balans past bij het risico van dít type dossier.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Breed gedragen, kern van §26.1.</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leidt vaak tot een goed gesprek over het verschil tussen ontwerpen voor control en handhaven van control — dit deel behandelt vooral het eerste.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Nuance nodig: ze staan op gespannen voet, maar zijn te verzoenen als de audit trail zelf toegang beperkt tot wie het nodig heeft (§26.4 en §26.5 gecombineerd).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Onjuist als absolute stelling: zie §26.7 — registratie zonder sturing is geen wantrouwen, het is dezelfde discretionaire ruimte met een spoor erachter.</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maatregel benoemen zonder modelelement</w:t>
      </w:r>
      <w:r>
        <w:rPr>
          <w:rFonts w:ascii="Calibri" w:cs="Calibri" w:eastAsia="Calibri" w:hAnsi="Calibri"/>
          <w:b w:val="false"/>
          <w:bCs w:val="false"/>
          <w:i w:val="false"/>
          <w:iCs w:val="false"/>
          <w:color w:val="1A1A1A"/>
          <w:sz w:val="21"/>
          <w:szCs w:val="21"/>
        </w:rPr>
        <w:t xml:space="preserve"> — de kern van opdracht 1, laat het gebeuren en corrigeer in de nabespreking.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Functiescheiding als tekstuele annotatie in plaats van afdwingbare performer-toewijzing</w:t>
      </w:r>
      <w:r>
        <w:rPr>
          <w:rFonts w:ascii="Calibri" w:cs="Calibri" w:eastAsia="Calibri" w:hAnsi="Calibri"/>
          <w:b w:val="false"/>
          <w:bCs w:val="false"/>
          <w:i w:val="false"/>
          <w:iCs w:val="false"/>
          <w:color w:val="1A1A1A"/>
          <w:sz w:val="21"/>
          <w:szCs w:val="21"/>
        </w:rPr>
        <w:t xml:space="preserve"> — zie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toezichtvraag beantwoorden met een algemene bewering in plaats van een modelverwijzing</w:t>
      </w:r>
      <w:r>
        <w:rPr>
          <w:rFonts w:ascii="Calibri" w:cs="Calibri" w:eastAsia="Calibri" w:hAnsi="Calibri"/>
          <w:b w:val="false"/>
          <w:bCs w:val="false"/>
          <w:i w:val="false"/>
          <w:iCs w:val="false"/>
          <w:color w:val="1A1A1A"/>
          <w:sz w:val="21"/>
          <w:szCs w:val="21"/>
        </w:rPr>
        <w:t xml:space="preserve"> — zie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Control bij casewerk klakkeloos zwaar maken</w:t>
      </w:r>
      <w:r>
        <w:rPr>
          <w:rFonts w:ascii="Calibri" w:cs="Calibri" w:eastAsia="Calibri" w:hAnsi="Calibri"/>
          <w:b w:val="false"/>
          <w:bCs w:val="false"/>
          <w:i w:val="false"/>
          <w:iCs w:val="false"/>
          <w:color w:val="1A1A1A"/>
          <w:sz w:val="21"/>
          <w:szCs w:val="21"/>
        </w:rPr>
        <w:t xml:space="preserve"> zonder het risico van het specifieke dossiertype te wegen — zie opdracht 6.</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Risico-maatregel-model</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Maatregel zonder modelelement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Modelelement benoemd, generiek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Modelelement concreet en specifiek voor het risico</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Toezichtvraag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Algemene bewering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Deels onderbouwd met modelelementen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Volledig onderbouwd, elk onderdeel herleidbaar</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Audit trail</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concrete bewaartermijn of reconstructiepad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Eén van beide concreet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Bewaartermijn én reconstructiepad concreet, gekoppeld aan art. 48 Pw</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Control bij casewerk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Klakkeloos zwaar of klakkeloos licht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Balans gekozen, summier verdedigd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Balans expliciet afgewogen tegen het risico van het dossiertype</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vijf risico's voor opdracht 1 als uitgereikt document, een toezichtvraag voor opdracht 3 als uitgereikt document, het procesmodel van elke deelnemer voor Deelnemermutaties uit niveau 2 beschikbaar, `casusdossier-stelselovergang.md` §6 en §7 beschikbaar.</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26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2026-08-17T15:51:57.865Z</dcterms:created>
  <dcterms:modified xsi:type="dcterms:W3CDTF">2026-08-17T15:51:57.866Z</dcterms:modified>
</cp:coreProperties>
</file>

<file path=docProps/custom.xml><?xml version="1.0" encoding="utf-8"?>
<Properties xmlns="http://schemas.openxmlformats.org/officeDocument/2006/custom-properties" xmlns:vt="http://schemas.openxmlformats.org/officeDocument/2006/docPropsVTypes"/>
</file>