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27</w:t>
      </w:r>
    </w:p>
    <w:p>
      <w:pPr>
        <w:spacing w:after="300"/>
      </w:pPr>
      <w:r>
        <w:rPr>
          <w:rFonts w:ascii="Calibri" w:cs="Calibri" w:eastAsia="Calibri" w:hAnsi="Calibri"/>
          <w:b/>
          <w:bCs/>
          <w:color w:val="14213D"/>
          <w:sz w:val="32"/>
          <w:szCs w:val="32"/>
        </w:rPr>
        <w:t xml:space="preserve">Docentenhandleiding — Beslisautomatisering op schaal</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Schaalt de DMN-kennis uit niveau 2 (deel 15, 16) op naar landschapsniveau, en confronteert deelnemers met het lastigste rekenkundige probleem van de stelselovergang: twee generaties rekenregels die tegelijk correct moeten blijven. Open met een korte terugverwijzing naar deel 16's terugwerkende-kracht-probleem — dit deel is de erfgenaam daarvan, nu op ondernemingsschaal.</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16, aankondiging schaalsprong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§27.1 Van beslisservice naar beslisarchitectuur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27.1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§27.2 Waar regels ophouden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27.2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1:25 – 1:45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1:45 – 2:00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2:00 – 2:20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§27.3-27.4 Uitlegbaarheid, raakvlak met AI-regelgeving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27.3</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2:20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§27.5 Model risk management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27.4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3:10 – 3:25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3:25 – 3:45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§27.6 Uitrolstrategieën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27.5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3:45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starten, §27.7, opdracht 5 en 6 als vervolg aankondigen,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4 (kerndeliverable) en opdracht 5-6 lopen door na het dagdeel of worden als huiswerk meegegeven, afhankelijk van de beschikbare tijd.</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Granulariteitsanalyse</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een spreiding: sommige deelnemers voegen te veel samen (één grote decision service, moeilijk te wijzigen), anderen splitsen te veel (een web van kleine, onderling verwijzende services). Beide reflexen zijn het leermoment — benoem ze expliciet, net als bij het ArchiMate/BPMN-onderscheid in deel 23.</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Regel of model</w:t>
      </w:r>
    </w:p>
    <w:p>
      <w:pPr>
        <w:spacing w:after="160" w:line="300"/>
        <w:jc w:val="left"/>
      </w:pPr>
      <w:r>
        <w:rPr>
          <w:rFonts w:ascii="Calibri" w:cs="Calibri" w:eastAsia="Calibri" w:hAnsi="Calibri"/>
          <w:b w:val="false"/>
          <w:bCs w:val="false"/>
          <w:i w:val="false"/>
          <w:iCs w:val="false"/>
          <w:color w:val="1A1A1A"/>
          <w:sz w:val="21"/>
          <w:szCs w:val="21"/>
        </w:rPr>
        <w:t xml:space="preserve">Beoordeel of de grens tussen regel en model expliciet gemaakt wordt bij combinatie-antwoorden, niet alleen "een beetje van beide". Een antwoord dat "combinatie" zegt zonder aan te geven waar de grens ligt, is onvolledig.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Uitlegbaarheidstoets</w:t>
      </w:r>
    </w:p>
    <w:p>
      <w:pPr>
        <w:spacing w:after="160" w:line="300"/>
        <w:jc w:val="left"/>
      </w:pPr>
      <w:r>
        <w:rPr>
          <w:rFonts w:ascii="Calibri" w:cs="Calibri" w:eastAsia="Calibri" w:hAnsi="Calibri"/>
          <w:b w:val="false"/>
          <w:bCs w:val="false"/>
          <w:i w:val="false"/>
          <w:iCs w:val="false"/>
          <w:color w:val="1A1A1A"/>
          <w:sz w:val="21"/>
          <w:szCs w:val="21"/>
        </w:rPr>
        <w:t xml:space="preserve">Controleer of de drie uitleggen daadwerkelijk verschillend zijn — een deelnemer die drie keer dezelfde tekst met een ander label oplevert, heeft het verschil in doelgroep niet doorleefd. De uitleg aan de toezichthouder mag technischer zijn dan die aan de deelnemer; de uitleg aan de deelnemer moet voldoen aan art. 48 Pw (correct, duidelijk, evenwichtig).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Model risk-raamwerk</w:t>
      </w:r>
    </w:p>
    <w:p>
      <w:pPr>
        <w:spacing w:after="160" w:line="300"/>
        <w:jc w:val="left"/>
      </w:pPr>
      <w:r>
        <w:rPr>
          <w:rFonts w:ascii="Calibri" w:cs="Calibri" w:eastAsia="Calibri" w:hAnsi="Calibri"/>
          <w:b w:val="false"/>
          <w:bCs w:val="false"/>
          <w:i w:val="false"/>
          <w:iCs w:val="false"/>
          <w:color w:val="1A1A1A"/>
          <w:sz w:val="21"/>
          <w:szCs w:val="21"/>
        </w:rPr>
        <w:t xml:space="preserve">Geen modelantwoord. Het scenario "een regel stond drie jaar fout" is de kern van de beoordeling: is er een concreet stappenplan (detectie, herstel, communicatie naar geraakte deelnemers), of blijft het bij "we zouden het herstellen"?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Uitrolstrategie kiezen</w:t>
      </w:r>
    </w:p>
    <w:p>
      <w:pPr>
        <w:spacing w:after="160" w:line="300"/>
        <w:jc w:val="left"/>
      </w:pPr>
      <w:r>
        <w:rPr>
          <w:rFonts w:ascii="Calibri" w:cs="Calibri" w:eastAsia="Calibri" w:hAnsi="Calibri"/>
          <w:b/>
          <w:bCs/>
          <w:i w:val="false"/>
          <w:iCs w:val="false"/>
          <w:color w:val="1A1A1A"/>
          <w:sz w:val="21"/>
          <w:szCs w:val="21"/>
        </w:rPr>
        <w:t xml:space="preserve">De zwaarste opdracht van dit deel en de directe erfgenaam van het terugwerkende-kracht-probleem uit niveau 2, deel 16 — verwijs daar expliciet naar.</w:t>
      </w:r>
      <w:r>
        <w:rPr>
          <w:rFonts w:ascii="Calibri" w:cs="Calibri" w:eastAsia="Calibri" w:hAnsi="Calibri"/>
          <w:b w:val="false"/>
          <w:bCs w:val="false"/>
          <w:i w:val="false"/>
          <w:iCs w:val="false"/>
          <w:color w:val="1A1A1A"/>
          <w:sz w:val="21"/>
          <w:szCs w:val="21"/>
        </w:rPr>
        <w:t xml:space="preserve"> Speel zelf de directeur met haast en druk stevig door: "waarom niet gewoon in één keer overschakelen, dat is toch sneller en simpeler?" Een goed antwoord benoemt concreet wat er misgaat bij een fout in een big-bang-overschakeling voor 380.000 deelnemers, en waarom de gekozen strategie die schade beperkt.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Twee stelsels tegelijk</w:t>
      </w:r>
    </w:p>
    <w:p>
      <w:pPr>
        <w:spacing w:after="160" w:line="300"/>
        <w:jc w:val="left"/>
      </w:pPr>
      <w:r>
        <w:rPr>
          <w:rFonts w:ascii="Calibri" w:cs="Calibri" w:eastAsia="Calibri" w:hAnsi="Calibri"/>
          <w:b w:val="false"/>
          <w:bCs w:val="false"/>
          <w:i w:val="false"/>
          <w:iCs w:val="false"/>
          <w:color w:val="1A1A1A"/>
          <w:sz w:val="21"/>
          <w:szCs w:val="21"/>
        </w:rPr>
        <w:t xml:space="preserve">Verwacht dat tweetallen in eerste instantie een oplossing ontwerpen die op één moment omschakelt in plaats van een periode waarin beide stelsels naast elkaar bestaan — corrigeer dit expliciet: de wet voorziet in een spreidingstermijn (casusdossier §5), en het ontwerp moet die periode aankunnen, niet alleen het omschakelmoment zelf.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kern van §27.3.</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Onjuist: ook een DMN-tabel kan foutief zijn samengesteld of verouderd — model risk management is niet uniek voor ML, zie §27.5.</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onjuist als absolute stelling: een shadow run zonder afwijking bevestigt dat de nieuwe regel doet wat bedoeld was — dat is waardevolle informatie, geen tijdverspilling.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 bespreek dit met §27.4 in het achterhoofd: verwacht dat "tijdelijk" in de praktijk vaak langer duurt dan gepland, en dat dit zelf een risico is dat benoemd moet worden.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Granulariteit zonder concrete afweging kiezen</w:t>
      </w:r>
      <w:r>
        <w:rPr>
          <w:rFonts w:ascii="Calibri" w:cs="Calibri" w:eastAsia="Calibri" w:hAnsi="Calibri"/>
          <w:b w:val="false"/>
          <w:bCs w:val="false"/>
          <w:i w:val="false"/>
          <w:iCs w:val="false"/>
          <w:color w:val="1A1A1A"/>
          <w:sz w:val="21"/>
          <w:szCs w:val="21"/>
        </w:rPr>
        <w:t xml:space="preserve">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"Combinatie van regel en model" zonder expliciete grens</w:t>
      </w:r>
      <w:r>
        <w:rPr>
          <w:rFonts w:ascii="Calibri" w:cs="Calibri" w:eastAsia="Calibri" w:hAnsi="Calibri"/>
          <w:b w:val="false"/>
          <w:bCs w:val="false"/>
          <w:i w:val="false"/>
          <w:iCs w:val="false"/>
          <w:color w:val="1A1A1A"/>
          <w:sz w:val="21"/>
          <w:szCs w:val="21"/>
        </w:rPr>
        <w:t xml:space="preserve"> — zie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Uitleg aan drie doelgroepen die inhoudelijk niet verschilt</w:t>
      </w:r>
      <w:r>
        <w:rPr>
          <w:rFonts w:ascii="Calibri" w:cs="Calibri" w:eastAsia="Calibri" w:hAnsi="Calibri"/>
          <w:b w:val="false"/>
          <w:bCs w:val="false"/>
          <w:i w:val="false"/>
          <w:iCs w:val="false"/>
          <w:color w:val="1A1A1A"/>
          <w:sz w:val="21"/>
          <w:szCs w:val="21"/>
        </w:rPr>
        <w:t xml:space="preserve"> — zie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Model risk management zonder concreet hersteltraject bij het scenario "jarenlang fout"</w:t>
      </w:r>
      <w:r>
        <w:rPr>
          <w:rFonts w:ascii="Calibri" w:cs="Calibri" w:eastAsia="Calibri" w:hAnsi="Calibri"/>
          <w:b w:val="false"/>
          <w:bCs w:val="false"/>
          <w:i w:val="false"/>
          <w:iCs w:val="false"/>
          <w:color w:val="1A1A1A"/>
          <w:sz w:val="21"/>
          <w:szCs w:val="21"/>
        </w:rPr>
        <w:t xml:space="preserve"> — zie opdracht 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Big-bang-omschakeling voorstellen zonder de spreidingstermijn te adresseren</w:t>
      </w:r>
      <w:r>
        <w:rPr>
          <w:rFonts w:ascii="Calibri" w:cs="Calibri" w:eastAsia="Calibri" w:hAnsi="Calibri"/>
          <w:b w:val="false"/>
          <w:bCs w:val="false"/>
          <w:i w:val="false"/>
          <w:iCs w:val="false"/>
          <w:color w:val="1A1A1A"/>
          <w:sz w:val="21"/>
          <w:szCs w:val="21"/>
        </w:rPr>
        <w:t xml:space="preserve"> — zie opdracht 6.</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Granulariteit en eigenaarschap</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afweging zichtbaar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Afweging aanwezig, niet consistent toegepast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Consistent afgewogen kader, per decision verdedigd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Regel-versus-model-grens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grens benoemd bij combinatie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Grens benoemd, niet concreet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Grens concreet, gekoppeld aan uitlegbaarheidseis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 risk-raamwerk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hersteltraject bij "jarenlang fout"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Hersteltraject summier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Hersteltraject concreet, inclusief communicatie naar geraakte deelnemers</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Uitrolstrategie en twee stelsels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Big bang zonder spreidingstermijn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Spreidingstermijn benoemd, risico's niet uitgewerkt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Spreidingstermijn verwerkt, risico's per strategie afgewogen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vijftien decisions voor opdracht 1 als uitgereikt document, acht besluitsituaties voor opdracht 2 als uitgereikt document, `casusdossier-stelselovergang.md` §4 en §5 beschikbaar, iemand die de rol van directeur met haast speelt bij opdracht 5 (docent of meegebrachte collega).</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2026-08-17T15:51:58.778Z</dcterms:created>
  <dcterms:modified xsi:type="dcterms:W3CDTF">2026-08-17T15:51:58.779Z</dcterms:modified>
</cp:coreProperties>
</file>

<file path=docProps/custom.xml><?xml version="1.0" encoding="utf-8"?>
<Properties xmlns="http://schemas.openxmlformats.org/officeDocument/2006/custom-properties" xmlns:vt="http://schemas.openxmlformats.org/officeDocument/2006/docPropsVTypes"/>
</file>