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BPMN, CMMN &amp; DMN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Niveau 3 — Meesterschap · Deel 28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4213D"/>
          <w:sz w:val="34"/>
          <w:szCs w:val="34"/>
        </w:rPr>
        <w:t xml:space="preserve">Werkboek — Adaptive case management en kenniswerk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Werk de opdrachten in volgorde. Opdracht 1 individueel, opdracht 2 individueel (deliverable), opdracht 3 individueel met verwerkingstijd (kerndeliverable), opdracht 4 in tweetallen, opdracht 5 individueel, opdracht 6 plenair. Eén dagdeel van 3,5 uur.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1 — CMMN of ACM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Zes situaties (uitgereikt document). Bepaal per situatie, met de grens uit §28.1 als criterium, of CMMN volstaat of dat je in ACM-territorium zit.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2 — Precedent vastleggen zonder voorschrijven *(deliverable)*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Ontwerp een mechanisme waarmee wat werkte bij een eerder Bijzondere Situaties-dossier, beschikbaar komt voor de volgende behandelaar, zonder dat het gebruiken ervan verplicht wordt. Maximaal twee pagina's.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3 — ACM-ontwerp *(kerndeliverable)*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Ontwerp een aanpak voor het onvoorspelbare deel van de stelselovergang: de uitzonderingsgevallen binnen Bijzondere Situaties die niemand vooraf kan opsommen. Beschrijf de gedeelde werkruimte, de rol van precedenten, en waar — indien ergens — het Locked Platform of Conductus nog een rol speelt. Maximaal drie pagina's.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4 — Autonomie op organisatieniveau *(tweetallen)*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Welke drie typen werk bij Meridiaan verdienen welke mate van autonomie (§28.5)? Verdedig de indeling met minstens één voorbeeld per type uit de vijf afdelingen.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5 — Meten zonder te sturen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Drie indicatoren voor kenniswerk bij Bijzondere Situaties. Benoem per indicator welk ongewenst gedrag hij zou kunnen uitlokken.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6 — Stellingen *(plenair)*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ACM is een erkenning dat je het werk niet begrijpt, niet een ontwerpkeuze.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Een precedentmechanisme zonder verplichting wordt in de praktijk toch een norm.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Kenniswerk zonder enige meting is beter dan kenniswerk met een slecht gekozen indicator.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Autonomie op organisatieniveau is een luxe die je je alleen bij voldoende schaal kunt veroorloven.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Vooruitblik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Deel 29 verlaat het modelniveau en gaat over het leiden van de transformatie zelf: een target operating model, een roadmap, en het gesprek met de directie over wat er wijkt als niet alles haalbaar is. De autonomie-indeling van vandaag is direct input voor de organisatiecomponent van dat target operating model.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BPMN, CMMN &amp; DMN — </w:t>
    </w:r>
    <w:r>
      <w:rPr>
        <w:rFonts w:ascii="Calibri" w:cs="Calibri" w:eastAsia="Calibri" w:hAnsi="Calibri"/>
        <w:color w:val="6B7280"/>
        <w:sz w:val="15"/>
        <w:szCs w:val="15"/>
      </w:rPr>
      <w:t xml:space="preserve">pagina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Deel 28 · Werkboek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2026-08-17T15:51:59.515Z</dcterms:created>
  <dcterms:modified xsi:type="dcterms:W3CDTF">2026-08-17T15:51:59.516Z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