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29</w:t>
      </w:r>
    </w:p>
    <w:p>
      <w:pPr>
        <w:spacing w:after="300"/>
      </w:pPr>
      <w:r>
        <w:rPr>
          <w:rFonts w:ascii="Calibri" w:cs="Calibri" w:eastAsia="Calibri" w:hAnsi="Calibri"/>
          <w:b/>
          <w:bCs/>
          <w:color w:val="14213D"/>
          <w:sz w:val="32"/>
          <w:szCs w:val="32"/>
        </w:rPr>
        <w:t xml:space="preserve">Docentenhandleiding — Transformatie leiden</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op één na laatste deel van niveau 3, en het deel waar de kernvaardigheid van het hele niveau — prioriteren onder onhaalbaarheid en die keuze verdedigen — het meest expliciet wordt geoefend. Open met een korte terugblik: deel 23 tot en met 28 leverden ontwerp op; dit deel vraagt wat er nodig is om dat ontwerp daadwerkelijk te realiseren, en dat is voor het eerst een leiderschapsvraag in plaats van een modelleervraag.</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w:t>
      </w:r>
    </w:p>
    <w:p>
      <w:pPr>
        <w:spacing w:after="160" w:line="300"/>
        <w:jc w:val="left"/>
      </w:pPr>
      <w:r>
        <w:rPr>
          <w:rFonts w:ascii="Calibri" w:cs="Calibri" w:eastAsia="Calibri" w:hAnsi="Calibri"/>
          <w:b/>
          <w:bCs/>
          <w:i w:val="false"/>
          <w:iCs w:val="false"/>
          <w:color w:val="1A1A1A"/>
          <w:sz w:val="21"/>
          <w:szCs w:val="21"/>
        </w:rPr>
        <w:t xml:space="preserve">Dagdeel 1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23-28, positionering van dit deel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§29.1 Target operating model</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29.1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1:05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1:05 – 1:30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§29.2 Van architectuur naar roadmap</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29.2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1:30 – 1:45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1:45 – 2:10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§29.3 Prioriteren onder onhaalbaarheid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29.3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2:10 – 3:05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3:05 – 3:30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§29.4 Weerstand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29.4</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Dagdeel 2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Kort vervolg §29.4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1:20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 rollenspel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1:20 – 1:35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1:35 – 1:55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§29.5 De business case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29.5</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1:55 – 2:30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2:30 – 2:45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2:45 – 3:05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§29.6-29.7 Scopebewaking, het directiegesprek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3:05 – 3:25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6</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3:25 – 3:30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7, vooruitblik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Opdracht 3 is de kernoefening van heel niveau 3 — reserveer ruim tijd en speel zelf de vier belanghebbenden waar nodig aanvullend op de tweetallen.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Target operating model</w:t>
      </w:r>
    </w:p>
    <w:p>
      <w:pPr>
        <w:spacing w:after="160" w:line="300"/>
        <w:jc w:val="left"/>
      </w:pPr>
      <w:r>
        <w:rPr>
          <w:rFonts w:ascii="Calibri" w:cs="Calibri" w:eastAsia="Calibri" w:hAnsi="Calibri"/>
          <w:b w:val="false"/>
          <w:bCs w:val="false"/>
          <w:i w:val="false"/>
          <w:iCs w:val="false"/>
          <w:color w:val="1A1A1A"/>
          <w:sz w:val="21"/>
          <w:szCs w:val="21"/>
        </w:rPr>
        <w:t xml:space="preserve">Geen uniek antwoord. Controleer of alle vijf componenten daadwerkelijk zijn uitgewerkt — de meest voorkomende fout is een TOM dat vrijwel uitsluitend de procescomponent behandelt omdat dat de vertrouwde stof van deze cursus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Roadmap bouwen</w:t>
      </w:r>
    </w:p>
    <w:p>
      <w:pPr>
        <w:spacing w:after="160" w:line="300"/>
        <w:jc w:val="left"/>
      </w:pPr>
      <w:r>
        <w:rPr>
          <w:rFonts w:ascii="Calibri" w:cs="Calibri" w:eastAsia="Calibri" w:hAnsi="Calibri"/>
          <w:b w:val="false"/>
          <w:bCs w:val="false"/>
          <w:i w:val="false"/>
          <w:iCs w:val="false"/>
          <w:color w:val="1A1A1A"/>
          <w:sz w:val="21"/>
          <w:szCs w:val="21"/>
        </w:rPr>
        <w:t xml:space="preserve">Geen uniek antwoord. De belangrijkste toets: erkent de roadmap expliciet de competitie om capaciteit tussen het resterende Mutatieplatform-werk en de stelselovergang, of plant hij ze onafhankelijk van elkaar alsof ze geen gedeelde middelen gebruiken?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Prioriteren onder druk</w:t>
      </w:r>
    </w:p>
    <w:p>
      <w:pPr>
        <w:spacing w:after="160" w:line="300"/>
        <w:jc w:val="left"/>
      </w:pPr>
      <w:r>
        <w:rPr>
          <w:rFonts w:ascii="Calibri" w:cs="Calibri" w:eastAsia="Calibri" w:hAnsi="Calibri"/>
          <w:b/>
          <w:bCs/>
          <w:i w:val="false"/>
          <w:iCs w:val="false"/>
          <w:color w:val="1A1A1A"/>
          <w:sz w:val="21"/>
          <w:szCs w:val="21"/>
        </w:rPr>
        <w:t xml:space="preserve">De kernoefening van heel niveau 3.</w:t>
      </w:r>
      <w:r>
        <w:rPr>
          <w:rFonts w:ascii="Calibri" w:cs="Calibri" w:eastAsia="Calibri" w:hAnsi="Calibri"/>
          <w:b w:val="false"/>
          <w:bCs w:val="false"/>
          <w:i w:val="false"/>
          <w:iCs w:val="false"/>
          <w:color w:val="1A1A1A"/>
          <w:sz w:val="21"/>
          <w:szCs w:val="21"/>
        </w:rPr>
        <w:t xml:space="preserve"> Speel zelf de vier belanghebbenden waar het tweetal ze niet scherp genoeg neerzet, en druk door: laat de "directie" niet wegkomen met "we doen gewoon alles iets sneller" — dat is geen prioritering. Beoordeel of het tweetal uiteindelijk een concrete keuze durft te maken (iets laten wijken) in plaats van een compromis te formuleren dat niemand echt iets laat inleveren.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Weerstandsdiagnose</w:t>
      </w:r>
    </w:p>
    <w:p>
      <w:pPr>
        <w:spacing w:after="160" w:line="300"/>
        <w:jc w:val="left"/>
      </w:pPr>
      <w:r>
        <w:rPr>
          <w:rFonts w:ascii="Calibri" w:cs="Calibri" w:eastAsia="Calibri" w:hAnsi="Calibri"/>
          <w:b/>
          <w:bCs/>
          <w:i w:val="false"/>
          <w:iCs w:val="false"/>
          <w:color w:val="1A1A1A"/>
          <w:sz w:val="21"/>
          <w:szCs w:val="21"/>
        </w:rPr>
        <w:t xml:space="preserve">Vraagt om de moed "terecht bezwaar" te concluderen in plaats van elke tegenwerping als weerstand te labelen.</w:t>
      </w:r>
      <w:r>
        <w:rPr>
          <w:rFonts w:ascii="Calibri" w:cs="Calibri" w:eastAsia="Calibri" w:hAnsi="Calibri"/>
          <w:b w:val="false"/>
          <w:bCs w:val="false"/>
          <w:i w:val="false"/>
          <w:iCs w:val="false"/>
          <w:color w:val="1A1A1A"/>
          <w:sz w:val="21"/>
          <w:szCs w:val="21"/>
        </w:rPr>
        <w:t xml:space="preserve"> Verwacht dat deelnemers de neiging hebben elk bezwaar als onwil te bestempelen — dat is de makkelijkste en vaakst onterechte diagnose. Bevraag elk antwoord "onwil" met: "hoe weet je dat het niet onmacht of terecht bezwaar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Business case</w:t>
      </w:r>
    </w:p>
    <w:p>
      <w:pPr>
        <w:spacing w:after="160" w:line="300"/>
        <w:jc w:val="left"/>
      </w:pPr>
      <w:r>
        <w:rPr>
          <w:rFonts w:ascii="Calibri" w:cs="Calibri" w:eastAsia="Calibri" w:hAnsi="Calibri"/>
          <w:b w:val="false"/>
          <w:bCs w:val="false"/>
          <w:i w:val="false"/>
          <w:iCs w:val="false"/>
          <w:color w:val="1A1A1A"/>
          <w:sz w:val="21"/>
          <w:szCs w:val="21"/>
        </w:rPr>
        <w:t xml:space="preserve">Geen modelantwoord. Een voorstel met alleen puntschattingen zonder bandbreedte is onvoldoende, ongeacht hoe overtuigend het verder oogt — dezelfde toets als bij de investeringsafweging in deel 25, opdracht 6.</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Het directiegesprek</w:t>
      </w:r>
    </w:p>
    <w:p>
      <w:pPr>
        <w:spacing w:after="160" w:line="300"/>
        <w:jc w:val="left"/>
      </w:pPr>
      <w:r>
        <w:rPr>
          <w:rFonts w:ascii="Calibri" w:cs="Calibri" w:eastAsia="Calibri" w:hAnsi="Calibri"/>
          <w:b w:val="false"/>
          <w:bCs w:val="false"/>
          <w:i w:val="false"/>
          <w:iCs w:val="false"/>
          <w:color w:val="1A1A1A"/>
          <w:sz w:val="21"/>
          <w:szCs w:val="21"/>
        </w:rPr>
        <w:t xml:space="preserve">Beoordeel op toon en taal, niet op inhoud alleen: bevat de opening modelleerjargon zonder vertaling? Wordt de onzekerheid uit opdracht 5 benoemd, of weggepoetst voor een gladder verhaal?</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kernboodschap van §29.6.</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bespreek het verschil tussen "te optimistisch" (verzwijgt onzekerheid, oneerlijk) en "ambitieus maar eerlijk" (erkent onzekerheid, overtuigt alsnog) — de stelling geldt vooral voor de eerste.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directe koppeling met opdracht 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sluit aan op opdracht 1.</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TOM dat vrijwel alleen de procescomponent uitwerkt</w:t>
      </w:r>
      <w:r>
        <w:rPr>
          <w:rFonts w:ascii="Calibri" w:cs="Calibri" w:eastAsia="Calibri" w:hAnsi="Calibri"/>
          <w:b w:val="false"/>
          <w:bCs w:val="false"/>
          <w:i w:val="false"/>
          <w:iCs w:val="false"/>
          <w:color w:val="1A1A1A"/>
          <w:sz w:val="21"/>
          <w:szCs w:val="21"/>
        </w:rPr>
        <w:t xml:space="preserve"> — zie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roadmap die de capaciteitscompetitie met het Mutatieplatform negeert</w:t>
      </w:r>
      <w:r>
        <w:rPr>
          <w:rFonts w:ascii="Calibri" w:cs="Calibri" w:eastAsia="Calibri" w:hAnsi="Calibri"/>
          <w:b w:val="false"/>
          <w:bCs w:val="false"/>
          <w:i w:val="false"/>
          <w:iCs w:val="false"/>
          <w:color w:val="1A1A1A"/>
          <w:sz w:val="21"/>
          <w:szCs w:val="21"/>
        </w:rPr>
        <w:t xml:space="preserve"> — zie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"compromis" formuleren in opdracht 3 waarbij niemand echt iets inlevert</w:t>
      </w:r>
      <w:r>
        <w:rPr>
          <w:rFonts w:ascii="Calibri" w:cs="Calibri" w:eastAsia="Calibri" w:hAnsi="Calibri"/>
          <w:b w:val="false"/>
          <w:bCs w:val="false"/>
          <w:i w:val="false"/>
          <w:iCs w:val="false"/>
          <w:color w:val="1A1A1A"/>
          <w:sz w:val="21"/>
          <w:szCs w:val="21"/>
        </w:rPr>
        <w:t xml:space="preserve"> — het belangrijkste te corrigeren patroon van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Elk bezwaar als onwil labelen</w:t>
      </w:r>
      <w:r>
        <w:rPr>
          <w:rFonts w:ascii="Calibri" w:cs="Calibri" w:eastAsia="Calibri" w:hAnsi="Calibri"/>
          <w:b w:val="false"/>
          <w:bCs w:val="false"/>
          <w:i w:val="false"/>
          <w:iCs w:val="false"/>
          <w:color w:val="1A1A1A"/>
          <w:sz w:val="21"/>
          <w:szCs w:val="21"/>
        </w:rPr>
        <w:t xml:space="preserve"> in plaats van onmacht of terecht bezwaar te overwegen — zie opdracht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business case zonder onzekerheidsbandbreedte</w:t>
      </w:r>
      <w:r>
        <w:rPr>
          <w:rFonts w:ascii="Calibri" w:cs="Calibri" w:eastAsia="Calibri" w:hAnsi="Calibri"/>
          <w:b w:val="false"/>
          <w:bCs w:val="false"/>
          <w:i w:val="false"/>
          <w:iCs w:val="false"/>
          <w:color w:val="1A1A1A"/>
          <w:sz w:val="21"/>
          <w:szCs w:val="21"/>
        </w:rPr>
        <w:t xml:space="preserve"> — zie opdracht 5.</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Target operating model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Vrijwel alleen procescomponent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Vier of vijf componenten benoemd, summier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Alle vijf componenten concreet uitgewerkt en onderling samenhangend</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Roadmap en prioritering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erkende capaciteitscompetitie of geen echte keuze gemaakt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Competitie erkend, keuze halfslachtig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Competitie erkend én een concrete, verdedigde keuze over wat wijkt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Weerstandsdiagnose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Alles als onwil gelabeld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 gemaakt, niet consistent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 consistent en correct toegepast, inclusief "terecht bezwaar" waar van toepassing</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 case en directiegesprek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onzekerheid benoemd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Onzekerheid benoemd, gesprek te optimistisch</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Onzekerheid expliciet, gesprek eerlijk en in begrijpelijke taal</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`casusdossier-stelselovergang.md` §1, §8 en §9 beschikbaar, vijf situaties voor opdracht 4 als uitgereikt document, iemand (docent of collega) die bij opdracht 3 aanvullend de vier belanghebbenden kan spelen naast de tweetallen.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29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2026-08-17T15:52:00.566Z</dcterms:created>
  <dcterms:modified xsi:type="dcterms:W3CDTF">2026-08-17T15:52:00.567Z</dcterms:modified>
</cp:coreProperties>
</file>

<file path=docProps/custom.xml><?xml version="1.0" encoding="utf-8"?>
<Properties xmlns="http://schemas.openxmlformats.org/officeDocument/2006/custom-properties" xmlns:vt="http://schemas.openxmlformats.org/officeDocument/2006/docPropsVTypes"/>
</file>