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3 — Meesterschap · Deel 30</w:t>
      </w:r>
    </w:p>
    <w:p>
      <w:pPr>
        <w:spacing w:after="300"/>
      </w:pPr>
      <w:r>
        <w:rPr>
          <w:rFonts w:ascii="Calibri" w:cs="Calibri" w:eastAsia="Calibri" w:hAnsi="Calibri"/>
          <w:b/>
          <w:bCs/>
          <w:color w:val="14213D"/>
          <w:sz w:val="32"/>
          <w:szCs w:val="32"/>
        </w:rPr>
        <w:t xml:space="preserve">Docentenhandleiding — Masterproef</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Het sluitstuk van de hele cursus BPMN/CMMN/DMN. Dit deel vraagt meer voorbereiding van de docent dan elk voorgaand deel: de vier vooraf gedeelde vragen (werkboek, opdracht 4) zijn voor iedereen gelijk, maar bereid per deelnemer twee gerichte, onaangekondigde vragen voor op basis van hun eigen deliverables uit deel 23-29. Lees daarvoor de deliverables van elke deelnemer vooraf door — dit kost tijd, plan het in.</w:t>
      </w:r>
    </w:p>
    <w:p>
      <w:pPr>
        <w:spacing w:after="160" w:line="300"/>
        <w:jc w:val="left"/>
      </w:pPr>
      <w:r>
        <w:rPr>
          <w:rFonts w:ascii="Calibri" w:cs="Calibri" w:eastAsia="Calibri" w:hAnsi="Calibri"/>
          <w:b/>
          <w:bCs/>
          <w:i w:val="false"/>
          <w:iCs w:val="false"/>
          <w:color w:val="1A1A1A"/>
          <w:sz w:val="21"/>
          <w:szCs w:val="21"/>
        </w:rPr>
        <w:t xml:space="preserve">Het belangrijkste verschil met de capstone van niveau 2 (deel 22).</w:t>
      </w:r>
      <w:r>
        <w:rPr>
          <w:rFonts w:ascii="Calibri" w:cs="Calibri" w:eastAsia="Calibri" w:hAnsi="Calibri"/>
          <w:b w:val="false"/>
          <w:bCs w:val="false"/>
          <w:i w:val="false"/>
          <w:iCs w:val="false"/>
          <w:color w:val="1A1A1A"/>
          <w:sz w:val="21"/>
          <w:szCs w:val="21"/>
        </w:rPr>
        <w:t xml:space="preserve"> Daar was de verdediging voorspelbaar: een stuurgroep die het ingeleverde werk beoordeelde. Hier is de vragenronde half onvoorzien, en dat vraagt van de docent een andere rol: niet alleen beoordelaar, maar ook — bij de onaangekondigde vragen — actief tegenspreker.</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w:t>
      </w:r>
    </w:p>
    <w:p>
      <w:pPr>
        <w:spacing w:after="160" w:line="300"/>
        <w:jc w:val="left"/>
      </w:pPr>
      <w:r>
        <w:rPr>
          <w:rFonts w:ascii="Calibri" w:cs="Calibri" w:eastAsia="Calibri" w:hAnsi="Calibri"/>
          <w:b/>
          <w:bCs/>
          <w:i w:val="false"/>
          <w:iCs w:val="false"/>
          <w:color w:val="1A1A1A"/>
          <w:sz w:val="21"/>
          <w:szCs w:val="21"/>
        </w:rPr>
        <w:t xml:space="preserve">Dagdeel 1 (3,5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Introductie masterproef, opbouw van het deel</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0:15 – 0:35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§30.1 Examenblauwdruk</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30.1</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0:35 – 1:50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 — proefexamen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examencondities</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1:50 – 2:05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2:05 – 2:35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Nabespreking proefexamen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2:35 – 2:55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§30.2 De CBPP-aanvraag</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30.2</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2:55 – 3:30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2 — proefexamen 2 (start, loopt door)</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examencondities</w:t>
            </w:r>
          </w:p>
        </w:tc>
      </w:tr>
    </w:tbl>
    <w:p>
      <w:pPr>
        <w:spacing w:before="200"/>
      </w:pPr>
    </w:p>
    <w:p>
      <w:pPr>
        <w:spacing w:after="160" w:line="300"/>
        <w:jc w:val="left"/>
      </w:pPr>
      <w:r>
        <w:rPr>
          <w:rFonts w:ascii="Calibri" w:cs="Calibri" w:eastAsia="Calibri" w:hAnsi="Calibri"/>
          <w:b/>
          <w:bCs/>
          <w:i w:val="false"/>
          <w:iCs w:val="false"/>
          <w:color w:val="1A1A1A"/>
          <w:sz w:val="21"/>
          <w:szCs w:val="21"/>
        </w:rPr>
        <w:t xml:space="preserve">Dagdeel 2 (3,5 uur, na aanzienlijke zelfstandige verwerkingstijd voor opdracht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0:20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Nabespreking proefexamen 2</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0:20 – 0:35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§30.4, opbouw van de verdedigingssessie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30.3</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0:35 – 3:20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4 — verdedigingen, ± 35 minuten per deelnemer (30 min. presentatie + vragen, 5 min. wisseltijd)</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 per deelnemer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3:20 – 3:30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Afsluiting cursus</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Bij grotere groepen: verdeel de verdedigingen over meerdere dagdelen of parallelle sessies met co-docenten; het tijdschema hierboven gaat uit van een kleine groep (maximaal 5-6 deelnemers per dagdeel).</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en 2 — Proefexamens</w:t>
      </w:r>
    </w:p>
    <w:p>
      <w:pPr>
        <w:spacing w:after="160" w:line="300"/>
        <w:jc w:val="left"/>
      </w:pPr>
      <w:r>
        <w:rPr>
          <w:rFonts w:ascii="Calibri" w:cs="Calibri" w:eastAsia="Calibri" w:hAnsi="Calibri"/>
          <w:b w:val="false"/>
          <w:bCs w:val="false"/>
          <w:i w:val="false"/>
          <w:iCs w:val="false"/>
          <w:color w:val="1A1A1A"/>
          <w:sz w:val="21"/>
          <w:szCs w:val="21"/>
        </w:rPr>
        <w:t xml:space="preserve">Nabespreek niet vraag voor vraag, maar clusterend: welke vragen leverden de meeste foute antwoorden op, en welk domein (deel 23-29) raken ze? Besteed extra aandacht aan vragen waarbij het "foute" antwoord plausibel leek — dat zijn precies de scenario-vragen die §30.1 beschrijft, en het soort denkfout dat op het echte examen het duurst is.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De masterproef samenstellen</w:t>
      </w:r>
    </w:p>
    <w:p>
      <w:pPr>
        <w:spacing w:after="160" w:line="300"/>
        <w:jc w:val="left"/>
      </w:pPr>
      <w:r>
        <w:rPr>
          <w:rFonts w:ascii="Calibri" w:cs="Calibri" w:eastAsia="Calibri" w:hAnsi="Calibri"/>
          <w:b w:val="false"/>
          <w:bCs w:val="false"/>
          <w:i w:val="false"/>
          <w:iCs w:val="false"/>
          <w:color w:val="1A1A1A"/>
          <w:sz w:val="21"/>
          <w:szCs w:val="21"/>
        </w:rPr>
        <w:t xml:space="preserve">Geen modelantwoord — dit is een bundeling van eerder al beoordeeld werk, aangevuld met de bestuursnotitie en de verantwoording. Controleer specifiek:</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 de bestuursnotitie daadwerkelijk in bestuurstaal geschreven (§29.7), niet in modelleerjargon?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Bevat de verantwoording expliciet wat er niet gaat lukken? Dit is het meest onderscheidende element — een verantwoording die alleen successen benoemt, heeft de kernboodschap van niveau 3 gemist.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Zijn de zeven onderdelen onderling consistent (bijvoorbeeld: verwijst de roadmap uit deel 29 naar dezelfde prioriteringskeuzes als de bestuursnotitie)?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De verdediging</w:t>
      </w:r>
    </w:p>
    <w:p>
      <w:pPr>
        <w:spacing w:after="160" w:line="300"/>
        <w:jc w:val="left"/>
      </w:pPr>
      <w:r>
        <w:rPr>
          <w:rFonts w:ascii="Calibri" w:cs="Calibri" w:eastAsia="Calibri" w:hAnsi="Calibri"/>
          <w:b/>
          <w:bCs/>
          <w:i w:val="false"/>
          <w:iCs w:val="false"/>
          <w:color w:val="1A1A1A"/>
          <w:sz w:val="21"/>
          <w:szCs w:val="21"/>
        </w:rPr>
        <w:t xml:space="preserve">Het belangrijkste onderdeel van dit deel.</w:t>
      </w:r>
      <w:r>
        <w:rPr>
          <w:rFonts w:ascii="Calibri" w:cs="Calibri" w:eastAsia="Calibri" w:hAnsi="Calibri"/>
          <w:b w:val="false"/>
          <w:bCs w:val="false"/>
          <w:i w:val="false"/>
          <w:iCs w:val="false"/>
          <w:color w:val="1A1A1A"/>
          <w:sz w:val="21"/>
          <w:szCs w:val="21"/>
        </w:rPr>
        <w:t xml:space="preserve"> Verdeel de vier rollen (directie, toezichthouder, IT, deelnemersvertegenwoordiging) bewust over de onaangekondigde vragenronde, zodat elk belang aan bod komt — laat niet toevallig drie vragen vanuit dezelfde rol komen. Bereid per deelnemer twee gerichte vragen voor die inspelen op een zwakte of een onbenoemde aanname in hún specifieke masterproef.</w:t>
      </w:r>
    </w:p>
    <w:p>
      <w:pPr>
        <w:spacing w:after="160" w:line="300"/>
        <w:jc w:val="left"/>
      </w:pPr>
      <w:r>
        <w:rPr>
          <w:rFonts w:ascii="Calibri" w:cs="Calibri" w:eastAsia="Calibri" w:hAnsi="Calibri"/>
          <w:b/>
          <w:bCs/>
          <w:i w:val="false"/>
          <w:iCs w:val="false"/>
          <w:color w:val="1A1A1A"/>
          <w:sz w:val="21"/>
          <w:szCs w:val="21"/>
        </w:rPr>
        <w:t xml:space="preserve">Het meest onderscheidende criterium is risico-acceptatie.</w:t>
      </w:r>
      <w:r>
        <w:rPr>
          <w:rFonts w:ascii="Calibri" w:cs="Calibri" w:eastAsia="Calibri" w:hAnsi="Calibri"/>
          <w:b w:val="false"/>
          <w:bCs w:val="false"/>
          <w:i w:val="false"/>
          <w:iCs w:val="false"/>
          <w:color w:val="1A1A1A"/>
          <w:sz w:val="21"/>
          <w:szCs w:val="21"/>
        </w:rPr>
        <w:t xml:space="preserve"> Een deelnemer die op de vraag "wat gaat er niet lukken" antwoordt "eigenlijk gaat alles lukken als we het plan volgen", heeft de kernboodschap van niveau 3 gemist — de opgave is bewust niet volledig haalbaar (opzet niveau 3), en een deelnemer die dat na acht delen niet erkent, heeft het niveau niet doorleefd. Wees hier streng in de beoordeling, ook als de rest van de verdediging sterk is.</w:t>
      </w:r>
    </w:p>
    <w:p>
      <w:pPr>
        <w:spacing w:after="160" w:line="300"/>
        <w:jc w:val="left"/>
      </w:pPr>
      <w:r>
        <w:rPr>
          <w:rFonts w:ascii="Calibri" w:cs="Calibri" w:eastAsia="Calibri" w:hAnsi="Calibri"/>
          <w:b/>
          <w:bCs/>
          <w:i w:val="false"/>
          <w:iCs w:val="false"/>
          <w:color w:val="1A1A1A"/>
          <w:sz w:val="21"/>
          <w:szCs w:val="21"/>
        </w:rPr>
        <w:t xml:space="preserve">Standvastigheid onder tegenspraak</w:t>
      </w:r>
      <w:r>
        <w:rPr>
          <w:rFonts w:ascii="Calibri" w:cs="Calibri" w:eastAsia="Calibri" w:hAnsi="Calibri"/>
          <w:b w:val="false"/>
          <w:bCs w:val="false"/>
          <w:i w:val="false"/>
          <w:iCs w:val="false"/>
          <w:color w:val="1A1A1A"/>
          <w:sz w:val="21"/>
          <w:szCs w:val="21"/>
        </w:rPr>
        <w:t xml:space="preserve"> is iets anders dan star vasthouden aan het oorspronkelijke plan: een deelnemer die op een goed punt van een belanghebbende zijn positie bijstelt met een heldere onderbouwing, scoort beter dan een deelnemer die star volhoudt of een deelnemer die bij de eerste tegenwerping omvalt.</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Een verantwoording die alleen successen benoemt</w:t>
      </w:r>
      <w:r>
        <w:rPr>
          <w:rFonts w:ascii="Calibri" w:cs="Calibri" w:eastAsia="Calibri" w:hAnsi="Calibri"/>
          <w:b w:val="false"/>
          <w:bCs w:val="false"/>
          <w:i w:val="false"/>
          <w:iCs w:val="false"/>
          <w:color w:val="1A1A1A"/>
          <w:sz w:val="21"/>
          <w:szCs w:val="21"/>
        </w:rPr>
        <w:t xml:space="preserve"> — het meest voorkomende en belangrijkste te corrigeren patroon, zie opdracht 3.</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Een bestuursnotitie vol modelleerjargon</w:t>
      </w:r>
      <w:r>
        <w:rPr>
          <w:rFonts w:ascii="Calibri" w:cs="Calibri" w:eastAsia="Calibri" w:hAnsi="Calibri"/>
          <w:b w:val="false"/>
          <w:bCs w:val="false"/>
          <w:i w:val="false"/>
          <w:iCs w:val="false"/>
          <w:color w:val="1A1A1A"/>
          <w:sz w:val="21"/>
          <w:szCs w:val="21"/>
        </w:rPr>
        <w:t xml:space="preserve"> — herhaling van de valkuil uit deel 29, §29.7, nu in de praktijk.</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Claimen dat alles haalbaar is binnen de termijn</w:t>
      </w:r>
      <w:r>
        <w:rPr>
          <w:rFonts w:ascii="Calibri" w:cs="Calibri" w:eastAsia="Calibri" w:hAnsi="Calibri"/>
          <w:b w:val="false"/>
          <w:bCs w:val="false"/>
          <w:i w:val="false"/>
          <w:iCs w:val="false"/>
          <w:color w:val="1A1A1A"/>
          <w:sz w:val="21"/>
          <w:szCs w:val="21"/>
        </w:rPr>
        <w:t xml:space="preserve"> tijdens de verdediging — het meest onderscheidende, en het meest voorkomende, zwakke antwoord.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Star volhouden of meteen omvallen</w:t>
      </w:r>
      <w:r>
        <w:rPr>
          <w:rFonts w:ascii="Calibri" w:cs="Calibri" w:eastAsia="Calibri" w:hAnsi="Calibri"/>
          <w:b w:val="false"/>
          <w:bCs w:val="false"/>
          <w:i w:val="false"/>
          <w:iCs w:val="false"/>
          <w:color w:val="1A1A1A"/>
          <w:sz w:val="21"/>
          <w:szCs w:val="21"/>
        </w:rPr>
        <w:t xml:space="preserve"> bij tegenspraak, in plaats van een onderbouwde tussenpositie.</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 van de verdediging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Onderbouwing</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Beweringen zonder verwijzing naar eigen materiaal of casusdossier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Onderbouwd, maar met gaten bij doorvragen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Consistent onderbouwd, ook bij doorvragen op details</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Omgaan met tegengestelde belangen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Één belang domineert, andere genegeerd</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Alle vier belangen benoemd, afweging summier</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Alle vier belangen expliciet afgewogen, met erkende spanning</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Risico-acceptatie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Claimt dat alles haalbaar is</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Erkent risico's in algemene termen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Benoemt expliciet en concreet wat niet gaat lukken en waarom</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Standvastigheid onder tegenspraak</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Valt om of houdt star vast zonder onderbouwing</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Reageert redelijk, wisselend onderbouwd</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Onderbouwd bijstellen waar terecht, onderbouwd vasthouden waar terecht</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twee proefexamens (elk 30 vragen) als uitgereikt document, alle deliverables van elke deelnemer uit deel 23-29 vooraf door de docent gelezen, een ruimte die een raad-van-bestuur-setting kan simuleren, eventueel co-docenten of collega's om de vier rollen bij de verdediging te bezetten, `casusdossier-stelselovergang.md` volledig paraat.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30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2026-08-17T15:52:01.422Z</dcterms:created>
  <dcterms:modified xsi:type="dcterms:W3CDTF">2026-08-17T15:52:01.423Z</dcterms:modified>
</cp:coreProperties>
</file>

<file path=docProps/custom.xml><?xml version="1.0" encoding="utf-8"?>
<Properties xmlns="http://schemas.openxmlformats.org/officeDocument/2006/custom-properties" xmlns:vt="http://schemas.openxmlformats.org/officeDocument/2006/docPropsVTypes"/>
</file>