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Docentenhandleiding</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13 — Digital Business</w:t>
      </w:r>
    </w:p>
    <w:p>
      <w:pPr>
        <w:spacing w:after="160"/>
      </w:pPr>
      <w:r>
        <w:rPr>
          <w:rFonts w:ascii="DM Sans" w:cs="DM Sans" w:eastAsia="DM Sans" w:hAnsi="DM Sans"/>
          <w:b/>
          <w:bCs/>
          <w:color w:val="14213D"/>
          <w:sz w:val="22"/>
          <w:szCs w:val="22"/>
        </w:rPr>
        <w:t xml:space="preserve">Niveau 2 — Engagement, waarde en specialisatie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de capability-fit-toets als reflex meenemen bij elk nieuw voorstel dat ze tegenkomen — vóórdat er wordt gebouwd, niet als verantwoording achteraf.</w:t>
      </w:r>
    </w:p>
    <w:p>
      <w:pPr>
        <w:spacing w:after="160"/>
      </w:pPr>
      <w:r>
        <w:rPr>
          <w:rFonts w:ascii="DM Sans" w:cs="DM Sans" w:eastAsia="DM Sans" w:hAnsi="DM Sans"/>
          <w:b/>
          <w:bCs/>
          <w:color w:val="14213D"/>
          <w:sz w:val="22"/>
          <w:szCs w:val="22"/>
        </w:rPr>
        <w:t xml:space="preserve">De valkuil:</w:t>
      </w:r>
      <w:r>
        <w:rPr>
          <w:rFonts w:ascii="DM Sans" w:cs="DM Sans" w:eastAsia="DM Sans" w:hAnsi="DM Sans"/>
          <w:color w:val="14213D"/>
          <w:sz w:val="22"/>
          <w:szCs w:val="22"/>
        </w:rPr>
        <w:t xml:space="preserve"> dit deel kan aanvoelen als bureaucratisch afremmen van goede ideeën. Zorg dat de zaal het onderscheid ziet tussen "afwijzen" en "op het juiste niveau en moment beleggen" — zie 13.6 en opdracht 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idee van Team Communicatie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capability-kaart en de fit-toets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capability-fit-toets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1:05 – 1:25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1:25 –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Wendbaarheid versus stuurloosheid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 – 2:00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wendbaar of stuurloos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2:00 – 2:20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Transformatie in fasen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in welke fase zitten wij?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3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vastleggen in plaats van afwijzen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3:30 – 3:50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gesprek met Team Communicatie; wat dit deel opleverde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14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capability-fit-toets en opdracht 1 (0:15 – 1:05)</w:t>
      </w:r>
    </w:p>
    <w:p>
      <w:pPr>
        <w:spacing w:after="160"/>
      </w:pPr>
      <w:r>
        <w:rPr>
          <w:rFonts w:ascii="DM Sans" w:cs="DM Sans" w:eastAsia="DM Sans" w:hAnsi="DM Sans"/>
          <w:b/>
          <w:bCs/>
          <w:color w:val="14213D"/>
          <w:sz w:val="22"/>
          <w:szCs w:val="22"/>
        </w:rPr>
        <w:t xml:space="preserve">Verwacht discussie bij voorbeeld 4</w:t>
      </w:r>
      <w:r>
        <w:rPr>
          <w:rFonts w:ascii="DM Sans" w:cs="DM Sans" w:eastAsia="DM Sans" w:hAnsi="DM Sans"/>
          <w:color w:val="14213D"/>
          <w:sz w:val="22"/>
          <w:szCs w:val="22"/>
        </w:rPr>
        <w:t xml:space="preserve"> (chatfunctie naast telefonische klantenservice) — sommigen zien dit als categorie 1, anderen als categorie 2. Dat is een goed leermoment: het onderscheid hangt af van of het kanaal echt nieuw gedrag toevoegt of alleen een bestaand contactmoment sneller maakt. Laat de discussie lopen in plaats van een hard antwoord te geven — de vaardigheid zit in het stellen van de vraag, niet in een exacte classificatie.</w:t>
      </w:r>
    </w:p>
    <w:p>
      <w:pPr>
        <w:pStyle w:val="Heading3"/>
      </w:pPr>
      <w:r>
        <w:rPr>
          <w:rFonts w:ascii="DM Sans" w:cs="DM Sans" w:eastAsia="DM Sans" w:hAnsi="DM Sans"/>
          <w:color w:val="14213D"/>
          <w:sz w:val="22"/>
          <w:szCs w:val="22"/>
        </w:rPr>
        <w:t xml:space="preserve">3.2 Opdracht 3 en de nabespreking (2:20 – 3:15) — het scharnier</w:t>
      </w:r>
    </w:p>
    <w:p>
      <w:pPr>
        <w:spacing w:after="160"/>
      </w:pPr>
      <w:r>
        <w:rPr>
          <w:rFonts w:ascii="DM Sans" w:cs="DM Sans" w:eastAsia="DM Sans" w:hAnsi="DM Sans"/>
          <w:b/>
          <w:bCs/>
          <w:color w:val="14213D"/>
          <w:sz w:val="22"/>
          <w:szCs w:val="22"/>
        </w:rPr>
        <w:t xml:space="preserve">Verwacht herkenning van het patroon "te vroeg willen optimaliseren."</w:t>
      </w:r>
      <w:r>
        <w:rPr>
          <w:rFonts w:ascii="DM Sans" w:cs="DM Sans" w:eastAsia="DM Sans" w:hAnsi="DM Sans"/>
          <w:color w:val="14213D"/>
          <w:sz w:val="22"/>
          <w:szCs w:val="22"/>
        </w:rPr>
        <w:t xml:space="preserve"> Dit is de meest voorkomende bevinding en verdient ruimte in de nabespreking: vraag door naar het concrete bewijs dat de basis nog niet stabiel is (vergelijkbaar met het rekendatumprobleem) versus een gevoel dat het "wel goed genoeg is."</w:t>
      </w:r>
    </w:p>
    <w:p>
      <w:pPr>
        <w:pStyle w:val="Heading3"/>
      </w:pPr>
      <w:r>
        <w:rPr>
          <w:rFonts w:ascii="DM Sans" w:cs="DM Sans" w:eastAsia="DM Sans" w:hAnsi="DM Sans"/>
          <w:color w:val="14213D"/>
          <w:sz w:val="22"/>
          <w:szCs w:val="22"/>
        </w:rPr>
        <w:t xml:space="preserve">3.3 Opdracht 4 (3:15 – 3:30)</w:t>
      </w:r>
    </w:p>
    <w:p>
      <w:pPr>
        <w:spacing w:after="160"/>
      </w:pPr>
      <w:r>
        <w:rPr>
          <w:rFonts w:ascii="DM Sans" w:cs="DM Sans" w:eastAsia="DM Sans" w:hAnsi="DM Sans"/>
          <w:color w:val="14213D"/>
          <w:sz w:val="22"/>
          <w:szCs w:val="22"/>
        </w:rPr>
        <w:t xml:space="preserve">Zelfde criterium als bij eerdere "vastleggen in plaats van afwijzen"-oefeningen in deze cursus (deel 7, 11, 12): een concreet, toetsbaar heroverwegingsmoment is het onderscheidende kenmerk van een goed antwoord.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Capability-fit-analyses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21 (specialisatiekeuze)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Fasediagnose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19 (agile governance)</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 indien beschikbaar, de eigen capability-kaart van de organisatie van de deelnemers meenemen als extra oefenmateriaal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14 combineert Digital Employee (cultuur, mindset, samenwerking, benutting) en Digital Operations (automatisering, veiligheid en aansprakelijkheid, snelheid, eenvoud, meetbaarheid) in één dagdeel. De casus draait om de vijf teams van Mutatieplatform die elk hun eigen werkritme hanteren, met wrijving tot gevolg. Bereid je voor door de reader van deel 14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2026-08-17T16:41:11.983Z</dcterms:created>
  <dcterms:modified xsi:type="dcterms:W3CDTF">2026-08-17T16:41:11.983Z</dcterms:modified>
</cp:coreProperties>
</file>

<file path=docProps/custom.xml><?xml version="1.0" encoding="utf-8"?>
<Properties xmlns="http://schemas.openxmlformats.org/officeDocument/2006/custom-properties" xmlns:vt="http://schemas.openxmlformats.org/officeDocument/2006/docPropsVTypes"/>
</file>