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  <w:jc w:val="center"/>
      </w:pPr>
      <w:r>
        <w:rPr>
          <w:rFonts w:ascii="DM Sans" w:cs="DM Sans" w:eastAsia="DM Sans" w:hAnsi="DM Sans"/>
          <w:b/>
          <w:bCs/>
          <w:color w:val="9A5F0D"/>
          <w:spacing w:val="40"/>
          <w:sz w:val="24"/>
          <w:szCs w:val="24"/>
        </w:rPr>
        <w:t xml:space="preserve">DUCTUS</w:t>
      </w:r>
    </w:p>
    <w:p>
      <w:pPr>
        <w:spacing w:before="400"/>
        <w:jc w:val="center"/>
      </w:pPr>
      <w:r>
        <w:rPr>
          <w:rFonts w:ascii="Cormorant Garamond" w:cs="Cormorant Garamond" w:eastAsia="Cormorant Garamond" w:hAnsi="Cormorant Garamond"/>
          <w:b/>
          <w:bCs/>
          <w:color w:val="14213D"/>
          <w:sz w:val="64"/>
          <w:szCs w:val="64"/>
        </w:rPr>
        <w:t xml:space="preserve">Deel 20 — Docentenhandleiding</w:t>
      </w:r>
    </w:p>
    <w:p>
      <w:pPr>
        <w:spacing w:after="800" w:before="200"/>
        <w:jc w:val="center"/>
      </w:pPr>
      <w:r>
        <w:rPr>
          <w:rFonts w:ascii="DM Sans" w:cs="DM Sans" w:eastAsia="DM Sans" w:hAnsi="DM Sans"/>
          <w:color w:val="55606F"/>
          <w:sz w:val="26"/>
          <w:szCs w:val="26"/>
        </w:rPr>
        <w:t xml:space="preserve">Niveau 2 · BTABoK</w:t>
      </w:r>
    </w:p>
    <w:p>
      <w:r>
        <w:br w:type="page"/>
      </w:r>
    </w:p>
    <w:p>
      <w:pPr>
        <w:pStyle w:val="Heading1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Deel 20 — Architectuurvolwassenheid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Niveau 2 — Engagement, waarde en specialisatie | Docentenhandleiding</w:t>
      </w:r>
    </w:p>
    <w:p>
      <w:pPr>
        <w:spacing w:after="200"/>
        <w:jc w:val="center"/>
      </w:pPr>
      <w:r>
        <w:rPr>
          <w:rFonts w:ascii="DM Sans" w:cs="DM Sans" w:eastAsia="DM Sans" w:hAnsi="DM Sans"/>
          <w:i/>
          <w:iCs/>
          <w:color w:val="55606F"/>
          <w:sz w:val="22"/>
          <w:szCs w:val="22"/>
        </w:rPr>
        <w:t xml:space="preserve">BTABoK-cursus, Ductus — los aanbiedbaar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1. Wat dit deel moet doen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Dit deel kan op twee manieren worden ingezet: als onderdeel van de doorlopende cursus, of als losse workshop van één dagdeel voor een klant die niet de volledige cursus afneemt.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Bereid je bij het geven van dit deel voor op beide situaties. Bij een losse workshop: vervang de Meridiaan-casus (20.2 t/m 20.7) waar nuttig door voorbeelden uit de sector van de deelnemende organisatie, maar behoud het rooster (20.3-20.4) ongewijzigd.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Hoofddoel: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deelnemers moeten hun eigen organisatie of team kunnen positioneren op het 5×5-rooster en, belangrijker, een gerichte investeringskeuze kunnen onderbouwen in plaats van een vage ambitie ("overal beter worden").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2. Tijdsindeling — één dagdeel (4 uur)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Tijd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Onderdeel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Vorm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0:00 – 0:15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De vraag van het bestuur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verhaal + slides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0:15 – 0:30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Vijf dimensies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0:30 – 0:45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Vijf niveaus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0:45 – 1:15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14213D"/>
                <w:sz w:val="22"/>
                <w:szCs w:val="22"/>
              </w:rPr>
              <w:t xml:space="preserve">Opdracht 1 — het rooster invullen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individueel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1:15 – 1:35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Nabespreking opdracht 1 — </w:t>
            </w:r>
            <w:r>
              <w:rPr>
                <w:rFonts w:ascii="DM Sans" w:cs="DM Sans" w:eastAsia="DM Sans" w:hAnsi="DM Sans"/>
                <w:i/>
                <w:iCs/>
                <w:color w:val="14213D"/>
                <w:sz w:val="22"/>
                <w:szCs w:val="22"/>
              </w:rPr>
              <w:t xml:space="preserve">het scharnier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1:35 – 1:50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i/>
                <w:iCs/>
                <w:color w:val="14213D"/>
                <w:sz w:val="22"/>
                <w:szCs w:val="22"/>
              </w:rPr>
              <w:t xml:space="preserve">Pauze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1:50 – 2:10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14213D"/>
                <w:sz w:val="22"/>
                <w:szCs w:val="22"/>
              </w:rPr>
              <w:t xml:space="preserve">Opdracht 2 — de sprong van 3 naar 4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tweetallen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2:10 – 2:25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14213D"/>
                <w:sz w:val="22"/>
                <w:szCs w:val="22"/>
              </w:rPr>
              <w:t xml:space="preserve">Opdracht 3 — de gerichte investering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individueel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2:25 – 2:40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i/>
                <w:iCs/>
                <w:color w:val="14213D"/>
                <w:sz w:val="22"/>
                <w:szCs w:val="22"/>
              </w:rPr>
              <w:t xml:space="preserve">Pauze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2:40 – 3:05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14213D"/>
                <w:sz w:val="22"/>
                <w:szCs w:val="22"/>
              </w:rPr>
              <w:t xml:space="preserve">Opdracht 4 — het antwoord aan het bestuur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groepen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3:05 – 3:35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Presentaties per groep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3:35 – 4:00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Wat dit deel heeft opgeleverd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4:00 – 4:30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(Bij doorlopende cursus) vooruitblik deel 21 — (bij losse workshop) afsluiting en vervolgstappen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plenair</w:t>
            </w:r>
          </w:p>
        </w:tc>
      </w:tr>
    </w:tbl>
    <w:p>
      <w:pPr>
        <w:spacing w:after="160"/>
      </w:pP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3. Per onderdeel: aanpak en valkuilen</w:t>
      </w:r>
    </w:p>
    <w:p>
      <w:pPr>
        <w:pStyle w:val="Heading3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3.1 Vijf niveaus (0:30 – 0:45)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Benadruk expliciet dat de niveaus generiek zijn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— dezelfde ladder geldt voor elke dimensie. Dit voorkomt verwarring bij opdracht 1, waar deelnemers soms per abuis denken dat elke dimensie zijn eigen schaal heeft.</w:t>
      </w:r>
    </w:p>
    <w:p>
      <w:pPr>
        <w:pStyle w:val="Heading3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3.2 Opdracht 1 en de nabespreking (0:45 – 1:35) — het scharnier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Verwacht ongelijke scores over de vijf dimensies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, en normaliseer dat expliciet in de nabespreking — zie 20.5 in de reader. Een deelnemer die op alles hetzelfde niveau scoort, heeft waarschijnlijk niet scherp genoeg per dimensie gekeken; vraag door.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Bij een losse workshop (geen voorkennis van de rest van de cursus):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leg bij deze opdracht kort uit wat een paar refererende instrumenten uit de reader betekenen (besluitenlogboek, kwaliteitsprofiel, stakeholderkaart) zodat deelnemers zonder cursusachtergrond de voorbeelden kunnen volgen — een korte alinea per instrument volstaat, geen volledige herhaling van de bijbehorende delen.</w:t>
      </w:r>
    </w:p>
    <w:p>
      <w:pPr>
        <w:pStyle w:val="Heading3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3.3 De gerichte investering, opdracht 3 en 4 (2:10 – 3:35)</w:t>
      </w:r>
    </w:p>
    <w:p>
      <w:pPr>
        <w:spacing w:after="160"/>
      </w:pPr>
      <w:r>
        <w:rPr>
          <w:rFonts w:ascii="DM Sans" w:cs="DM Sans" w:eastAsia="DM Sans" w:hAnsi="DM Sans"/>
          <w:b/>
          <w:bCs/>
          <w:color w:val="14213D"/>
          <w:sz w:val="22"/>
          <w:szCs w:val="22"/>
        </w:rPr>
        <w:t xml:space="preserve">De grootste valkuil hier is een deelnemer die alle vijf dimensies tegelijk wil verbeteren.</w:t>
      </w:r>
      <w:r>
        <w:rPr>
          <w:rFonts w:ascii="DM Sans" w:cs="DM Sans" w:eastAsia="DM Sans" w:hAnsi="DM Sans"/>
          <w:color w:val="14213D"/>
          <w:sz w:val="22"/>
          <w:szCs w:val="22"/>
        </w:rPr>
        <w:t xml:space="preserve"> Dat is precies wat 20.6 waarschuwt te vermijden. Vraag actief: als je maar één dimensie mocht kiezen voor het komende kwartaal, welke zou dat zijn, en waarom niet een andere?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4. Beoordeling en dossiervorming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Wat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Waar bewaard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shd w:fill="14213D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b/>
                <w:bCs/>
                <w:color w:val="FFFFFF"/>
                <w:sz w:val="22"/>
                <w:szCs w:val="22"/>
              </w:rPr>
              <w:t xml:space="preserve">Waarvoor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Volwassenheidsrooster (opdracht 1)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deelnemersmap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referentie voor deel 22 (examentraining CITA-A)</w:t>
            </w:r>
          </w:p>
        </w:tc>
      </w:tr>
      <w:tr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Investeringsvoorstel (opdracht 4)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deelnemersmap</w:t>
            </w:r>
          </w:p>
        </w:tc>
        <w:tc>
          <w:tcPr>
            <w:tcW w:type="dxa" w:w="3024"/>
            <w:tcBorders>
              <w:top w:val="single" w:color="DFDCD3" w:sz="2"/>
              <w:left w:val="single" w:color="DFDCD3" w:sz="2"/>
              <w:bottom w:val="single" w:color="DFDCD3" w:sz="2"/>
              <w:right w:val="single" w:color="DFDCD3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DM Sans" w:cs="DM Sans" w:eastAsia="DM Sans" w:hAnsi="DM Sans"/>
                <w:color w:val="14213D"/>
                <w:sz w:val="22"/>
                <w:szCs w:val="22"/>
              </w:rPr>
              <w:t xml:space="preserve">direct bruikbaar richting de eigen organisatie</w:t>
            </w:r>
          </w:p>
        </w:tc>
      </w:tr>
    </w:tbl>
    <w:p>
      <w:pPr>
        <w:spacing w:after="160"/>
      </w:pP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5. Benodigdheden</w:t>
      </w:r>
    </w:p>
    <w:p>
      <w:pPr>
        <w:pStyle w:val="ListParagraph"/>
        <w:numPr>
          <w:ilvl w:val="0"/>
          <w:numId w:val="2"/>
        </w:numPr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Rooster-sjabloon op A4 (5 dimensies × 5 niveaus)</w:t>
      </w:r>
    </w:p>
    <w:p>
      <w:pPr>
        <w:pStyle w:val="ListParagraph"/>
        <w:numPr>
          <w:ilvl w:val="0"/>
          <w:numId w:val="2"/>
        </w:numPr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Bij een losse workshop: een korte inleiding (10 minuten) over de vijf pijlers uit niveau 1, als de deelnemers die cursusdelen niet hebben gevolgd</w:t>
      </w:r>
    </w:p>
    <w:p>
      <w:pPr>
        <w:pBdr>
          <w:bottom w:val="single" w:color="DFDCD3" w:sz="6" w:space="4"/>
        </w:pBdr>
        <w:spacing w:after="120" w:before="120"/>
      </w:pPr>
    </w:p>
    <w:p>
      <w:pPr>
        <w:pStyle w:val="Heading2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6. Vooruitblik voor de docent</w:t>
      </w:r>
    </w:p>
    <w:p>
      <w:pPr>
        <w:spacing w:after="160"/>
      </w:pPr>
      <w:r>
        <w:rPr>
          <w:rFonts w:ascii="DM Sans" w:cs="DM Sans" w:eastAsia="DM Sans" w:hAnsi="DM Sans"/>
          <w:color w:val="14213D"/>
          <w:sz w:val="22"/>
          <w:szCs w:val="22"/>
        </w:rPr>
        <w:t xml:space="preserve">Deel 21 behandelt de specialisatiekeuze: de vier andere BTABoK-specialisaties (Business, Information, Infrastructure, Software) naast het Solution-hoofdspoor dat deze cursus tot nu toe heeft gevolgd, en de keuze die elke deelnemer maakt voor het eigen CITA-A-examenspoor. Dit deel is, anders dan deel 20, weer onderdeel van de doorlopende cursusstructuur en vereist de voorkennis van niveau 1 en 2. Bereid je voor door de reader van deel 21 door te nemen.</w:t>
      </w:r>
    </w:p>
    <w:sectPr>
      <w:headerReference w:type="default" r:id="rId7"/>
      <w:footerReference w:type="default" r:id="rId8"/>
      <w:pgSz w:w="11906" w:h="16838" w:orient="portrait"/>
      <w:pgMar w:top="1417" w:right="1417" w:bottom="141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DM Sans" w:cs="DM Sans" w:eastAsia="DM Sans" w:hAnsi="DM Sans"/>
        <w:color w:val="55606F"/>
        <w:sz w:val="16"/>
        <w:szCs w:val="16"/>
      </w:rPr>
      <w:t xml:space="preserve">Pagina </w:t>
    </w:r>
    <w:r>
      <w:rPr>
        <w:rFonts w:ascii="DM Sans" w:cs="DM Sans" w:eastAsia="DM Sans" w:hAnsi="DM Sans"/>
        <w:color w:val="55606F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DM Sans" w:cs="DM Sans" w:eastAsia="DM Sans" w:hAnsi="DM Sans"/>
        <w:color w:val="55606F"/>
        <w:sz w:val="16"/>
        <w:szCs w:val="16"/>
      </w:rPr>
      <w:t xml:space="preserve">Ductus — BTABoK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M Sans" w:cs="DM Sans" w:eastAsia="DM Sans" w:hAnsi="DM Sans"/>
        <w:color w:val="14213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E9A13B" w:sz="8" w:space="6"/>
      </w:pBdr>
      <w:spacing w:after="240" w:before="480"/>
      <w:outlineLvl w:val="0"/>
    </w:pPr>
    <w:rPr>
      <w:rFonts w:ascii="Cormorant Garamond" w:cs="Cormorant Garamond" w:eastAsia="Cormorant Garamond" w:hAnsi="Cormorant Garamond"/>
      <w:b/>
      <w:bCs/>
      <w:color w:val="14213D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80" w:before="360"/>
      <w:outlineLvl w:val="1"/>
    </w:pPr>
    <w:rPr>
      <w:rFonts w:ascii="Cormorant Garamond" w:cs="Cormorant Garamond" w:eastAsia="Cormorant Garamond" w:hAnsi="Cormorant Garamond"/>
      <w:b/>
      <w:bCs/>
      <w:color w:val="1B4A80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20" w:before="240"/>
      <w:outlineLvl w:val="2"/>
    </w:pPr>
    <w:rPr>
      <w:rFonts w:ascii="DM Sans" w:cs="DM Sans" w:eastAsia="DM Sans" w:hAnsi="DM Sans"/>
      <w:b/>
      <w:bCs/>
      <w:color w:val="14213D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2026-08-17T16:41:12.964Z</dcterms:created>
  <dcterms:modified xsi:type="dcterms:W3CDTF">2026-08-17T16:41:12.964Z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