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23 — Reader</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23 — De architectuurpraktijk</w:t>
      </w:r>
    </w:p>
    <w:p>
      <w:pPr>
        <w:spacing w:after="160"/>
      </w:pPr>
      <w:r>
        <w:rPr>
          <w:rFonts w:ascii="DM Sans" w:cs="DM Sans" w:eastAsia="DM Sans" w:hAnsi="DM Sans"/>
          <w:b/>
          <w:bCs/>
          <w:color w:val="14213D"/>
          <w:sz w:val="22"/>
          <w:szCs w:val="22"/>
        </w:rPr>
        <w:t xml:space="preserve">Niveau 3 — Board-gereedheid en praktijkleiderschap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23.1 Waar dit niveau over gaat</w:t>
      </w:r>
    </w:p>
    <w:p>
      <w:pPr>
        <w:spacing w:after="160"/>
      </w:pPr>
      <w:r>
        <w:rPr>
          <w:rFonts w:ascii="DM Sans" w:cs="DM Sans" w:eastAsia="DM Sans" w:hAnsi="DM Sans"/>
          <w:color w:val="14213D"/>
          <w:sz w:val="22"/>
          <w:szCs w:val="22"/>
        </w:rPr>
        <w:t xml:space="preserve">Niveau 1 ging over wat een architect moet kunnen. Niveau 2 ging over hoe je dat aanbiedt als dienst binnen een programma. Niveau 3 gaat over iets anders: hoe je een architectuurpráktijk opbouwt en leidt — een groep architecten, hun ontwikkeling, hun samenhang — op het niveau waarop een organisatie niet meer één programma maar haar hele technologielandschap moet aansturen.</w:t>
      </w:r>
    </w:p>
    <w:p>
      <w:pPr>
        <w:spacing w:after="160"/>
      </w:pPr>
      <w:r>
        <w:rPr>
          <w:rFonts w:ascii="DM Sans" w:cs="DM Sans" w:eastAsia="DM Sans" w:hAnsi="DM Sans"/>
          <w:color w:val="14213D"/>
          <w:sz w:val="22"/>
          <w:szCs w:val="22"/>
        </w:rPr>
        <w:t xml:space="preserve">Dit niveau bereidt voor op </w:t>
      </w:r>
      <w:r>
        <w:rPr>
          <w:rFonts w:ascii="DM Sans" w:cs="DM Sans" w:eastAsia="DM Sans" w:hAnsi="DM Sans"/>
          <w:b/>
          <w:bCs/>
          <w:color w:val="14213D"/>
          <w:sz w:val="22"/>
          <w:szCs w:val="22"/>
        </w:rPr>
        <w:t xml:space="preserve">CITA-S</w:t>
      </w:r>
      <w:r>
        <w:rPr>
          <w:rFonts w:ascii="DM Sans" w:cs="DM Sans" w:eastAsia="DM Sans" w:hAnsi="DM Sans"/>
          <w:color w:val="14213D"/>
          <w:sz w:val="22"/>
          <w:szCs w:val="22"/>
        </w:rPr>
        <w:t xml:space="preserve"> en </w:t>
      </w:r>
      <w:r>
        <w:rPr>
          <w:rFonts w:ascii="DM Sans" w:cs="DM Sans" w:eastAsia="DM Sans" w:hAnsi="DM Sans"/>
          <w:b/>
          <w:bCs/>
          <w:color w:val="14213D"/>
          <w:sz w:val="22"/>
          <w:szCs w:val="22"/>
        </w:rPr>
        <w:t xml:space="preserve">CITA-P</w:t>
      </w:r>
      <w:r>
        <w:rPr>
          <w:rFonts w:ascii="DM Sans" w:cs="DM Sans" w:eastAsia="DM Sans" w:hAnsi="DM Sans"/>
          <w:color w:val="14213D"/>
          <w:sz w:val="22"/>
          <w:szCs w:val="22"/>
        </w:rPr>
        <w:t xml:space="preserve">, de seniorste certificeringen in de BoK: board-gereedheid, waarbij niet langer wordt getoetst of je goed werk aflevert, maar of je op het niveau van een directie of raad van bestuur verantwoording kunt afleggen over architectuurkeuzes die de hele organisatie raken.</w:t>
      </w:r>
    </w:p>
    <w:p>
      <w:pPr>
        <w:spacing w:after="160"/>
      </w:pPr>
      <w:r>
        <w:rPr>
          <w:rFonts w:ascii="DM Sans" w:cs="DM Sans" w:eastAsia="DM Sans" w:hAnsi="DM Sans"/>
          <w:b/>
          <w:bCs/>
          <w:color w:val="14213D"/>
          <w:sz w:val="22"/>
          <w:szCs w:val="22"/>
        </w:rPr>
        <w:t xml:space="preserve">Nieuwe casusfase.</w:t>
      </w:r>
      <w:r>
        <w:rPr>
          <w:rFonts w:ascii="DM Sans" w:cs="DM Sans" w:eastAsia="DM Sans" w:hAnsi="DM Sans"/>
          <w:color w:val="14213D"/>
          <w:sz w:val="22"/>
          <w:szCs w:val="22"/>
        </w:rPr>
        <w:t xml:space="preserve"> Mutatieplatform is twee jaar geleden afgerond en functioneert stabiel, met het lichte governancemodel uit deel 19 nog altijd op zijn plek. Claudette is inmiddels CITA-A-gecertificeerd in het Solution-spoor. Meridiaan staat nu voor de grootste verandering in zijn bestaan: de overgang naar het nieuwe Nederlandse pensioenstelsel, de Wet toekomst pensioenen (Wtp). Waar Mutatieplatform vijf systemen en veertien maanden besloeg, raakt de Wtp-overgang vrijwel elk systeem dat Meridiaan heeft, loopt over meerdere jaren, en vereist een fundamentele herberekening van elk pensioenaanspraak van elke deelnemer.</w:t>
      </w:r>
    </w:p>
    <w:p>
      <w:pPr>
        <w:spacing w:after="160"/>
      </w:pPr>
      <w:r>
        <w:rPr>
          <w:rFonts w:ascii="DM Sans" w:cs="DM Sans" w:eastAsia="DM Sans" w:hAnsi="DM Sans"/>
          <w:color w:val="14213D"/>
          <w:sz w:val="22"/>
          <w:szCs w:val="22"/>
        </w:rPr>
        <w:t xml:space="preserve">Bart Hoekstra, nu CTO, vraagt Claudette niet om weer een architect binnen een programma te zijn. Hij vraagt haar een architectuurpraktijk op te bouwen: acht tot tien architecten, gestructureerd, met een eigen ontwikkelpad, klaar om deze overgang te dragen.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het verschil toepassen tussen bijdragen aan een programma en een praktijk opbouwen en leiden;</w:t>
      </w:r>
    </w:p>
    <w:p>
      <w:pPr>
        <w:pStyle w:val="ListParagraph"/>
        <w:numPr>
          <w:ilvl w:val="0"/>
          <w:numId w:val="2"/>
        </w:numPr>
      </w:pPr>
      <w:r>
        <w:rPr>
          <w:rFonts w:ascii="DM Sans" w:cs="DM Sans" w:eastAsia="DM Sans" w:hAnsi="DM Sans"/>
          <w:color w:val="14213D"/>
          <w:sz w:val="22"/>
          <w:szCs w:val="22"/>
        </w:rPr>
        <w:t xml:space="preserve">een praktijkcharter opstellen dat missie, scope en groei van een architectuurpraktijk vastlegt;</w:t>
      </w:r>
    </w:p>
    <w:p>
      <w:pPr>
        <w:pStyle w:val="ListParagraph"/>
        <w:numPr>
          <w:ilvl w:val="0"/>
          <w:numId w:val="2"/>
        </w:numPr>
      </w:pPr>
      <w:r>
        <w:rPr>
          <w:rFonts w:ascii="DM Sans" w:cs="DM Sans" w:eastAsia="DM Sans" w:hAnsi="DM Sans"/>
          <w:color w:val="14213D"/>
          <w:sz w:val="22"/>
          <w:szCs w:val="22"/>
        </w:rPr>
        <w:t xml:space="preserve">een ontwikkelpad ontwerpen dat architecten van beginnend tot seniorniveau laat doorgroeien, gekoppeld aan de certificeringsniveaus van deze cursus.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23.2 Acht tot tien architecten, geen charter</w:t>
      </w:r>
    </w:p>
    <w:p>
      <w:pPr>
        <w:spacing w:after="160"/>
      </w:pPr>
      <w:r>
        <w:rPr>
          <w:rFonts w:ascii="DM Sans" w:cs="DM Sans" w:eastAsia="DM Sans" w:hAnsi="DM Sans"/>
          <w:color w:val="14213D"/>
          <w:sz w:val="22"/>
          <w:szCs w:val="22"/>
        </w:rPr>
        <w:t xml:space="preserve">Claudette begint zoals ze twee jaar geleden bij Mutatieplatform begon: met een vage opdracht. </w:t>
      </w:r>
      <w:r>
        <w:rPr>
          <w:rFonts w:ascii="DM Sans" w:cs="DM Sans" w:eastAsia="DM Sans" w:hAnsi="DM Sans"/>
          <w:i/>
          <w:iCs/>
          <w:color w:val="14213D"/>
          <w:sz w:val="22"/>
          <w:szCs w:val="22"/>
        </w:rPr>
        <w:t xml:space="preserve">"Bouw de architectuurpraktijk die we nodig hebben voor de Wtp-overgang"</w:t>
      </w:r>
      <w:r>
        <w:rPr>
          <w:rFonts w:ascii="DM Sans" w:cs="DM Sans" w:eastAsia="DM Sans" w:hAnsi="DM Sans"/>
          <w:color w:val="14213D"/>
          <w:sz w:val="22"/>
          <w:szCs w:val="22"/>
        </w:rPr>
        <w:t xml:space="preserve"> is, op zichzelf, geen opdracht maar een richting. Er is geen budget vastgesteld voor hoeveel architecten, geen duidelijkheid over welke ervaring ze moeten hebben, geen afspraak over hoe nieuwe architecten instromen en groeien, en geen antwoord op de vraag hoe deze praktijk zich verhoudt tot het lichte governancemodel dat al bestaat sinds deel 19.</w:t>
      </w:r>
    </w:p>
    <w:p>
      <w:pPr>
        <w:spacing w:after="80" w:before="200"/>
        <w:jc w:val="center"/>
      </w:pPr>
      <w:r>
        <w:drawing>
          <wp:inline distT="0" distB="0" distL="0" distR="0">
            <wp:extent cx="5715000" cy="3810000"/>
            <wp:effectExtent t="0" r="0" b="0" l="0"/>
            <wp:docPr id="1" name="figuur-23-1" descr="FIGUUR 23-1: een lege organisatiestructuur met &quot;architectuurpraktijk&quot; bovenaan en verder niets ingevuld" title="Figuur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23-1</w:t>
      </w:r>
    </w:p>
    <w:p>
      <w:pPr>
        <w:spacing w:after="160"/>
      </w:pPr>
      <w:r>
        <w:rPr>
          <w:rFonts w:ascii="DM Sans" w:cs="DM Sans" w:eastAsia="DM Sans" w:hAnsi="DM Sans"/>
          <w:color w:val="14213D"/>
          <w:sz w:val="22"/>
          <w:szCs w:val="22"/>
        </w:rPr>
        <w:t xml:space="preserve">Dit is, op praktijkniveau, exact hetzelfde probleem als "sluit je gewoon aan" uit deel 11 — alleen nu niet voor één persoon binnen één programma, maar voor een hele praktijk binnen een hele organisatie.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23.3 De praktijk als eigen entiteit, met een eigen charter</w:t>
      </w:r>
    </w:p>
    <w:p>
      <w:pPr>
        <w:spacing w:after="160"/>
      </w:pPr>
      <w:r>
        <w:rPr>
          <w:rFonts w:ascii="DM Sans" w:cs="DM Sans" w:eastAsia="DM Sans" w:hAnsi="DM Sans"/>
          <w:color w:val="14213D"/>
          <w:sz w:val="22"/>
          <w:szCs w:val="22"/>
        </w:rPr>
        <w:t xml:space="preserve">De eerste competentie van dit niveau tilt het opdrachtblad uit deel 11 naar praktijkniveau. Waar het opdrachtblad de dienst van één architect afbakende, bakent het praktijkcharter de hele architectuurfunctie af.</w:t>
      </w:r>
    </w:p>
    <w:p>
      <w:pPr>
        <w:spacing w:after="80" w:before="200"/>
        <w:jc w:val="center"/>
      </w:pPr>
      <w:r>
        <w:drawing>
          <wp:inline distT="0" distB="0" distL="0" distR="0">
            <wp:extent cx="5715000" cy="3810000"/>
            <wp:effectExtent t="0" r="0" b="0" l="0"/>
            <wp:docPr id="1" name="figuur-23-2" descr="FIGUUR 23-2: het praktijkcharter naast het opdrachtblad uit deel 11, met de overeenkomstige velden gemarkeerd" title="Figuur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23-2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Veld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Opdrachtblad (deel 11, één architect)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Praktijkcharter (dit deel, hele praktijk)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Opdrachtgever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programmadirecteur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directie, vertegenwoordigd door Bart Hoekstra</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Type dienst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drie afgebakende diensten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volledige instrumentarium: engagement, waarde, operating model, governance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Scope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vijf teams, veertien maanden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hele organisatie, geen einddatum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"goed" betekent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minder herbouw door late ontwerpfouten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Wtp-overgang aantoonbaar beheerst uitgevoerd, plus een praktijk die na de overgang blijft bestaan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Mandaat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adviseert, team beslist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kaders stellen (deel 9, deel 19), nooit ontwerpen namens de teams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Exitcriteria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oplevering van het programma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 dit is, net als het product uit deel 19, blijvend</w:t>
            </w:r>
          </w:p>
        </w:tc>
      </w:tr>
    </w:tbl>
    <w:p>
      <w:pPr>
        <w:spacing w:after="160"/>
      </w:pPr>
    </w:p>
    <w:p>
      <w:pPr>
        <w:spacing w:after="160"/>
      </w:pPr>
      <w:r>
        <w:rPr>
          <w:rFonts w:ascii="DM Sans" w:cs="DM Sans" w:eastAsia="DM Sans" w:hAnsi="DM Sans"/>
          <w:b/>
          <w:bCs/>
          <w:color w:val="14213D"/>
          <w:sz w:val="22"/>
          <w:szCs w:val="22"/>
        </w:rPr>
        <w:t xml:space="preserve">Het praktijkcharter maakt hetzelfde onderscheid dat deel 19 al maakte tussen project en product, nu toegepast op de praktijk zelf.</w:t>
      </w:r>
      <w:r>
        <w:rPr>
          <w:rFonts w:ascii="DM Sans" w:cs="DM Sans" w:eastAsia="DM Sans" w:hAnsi="DM Sans"/>
          <w:color w:val="14213D"/>
          <w:sz w:val="22"/>
          <w:szCs w:val="22"/>
        </w:rPr>
        <w:t xml:space="preserve"> Een praktijk die is opgezet om één programma te dragen, is tijdelijk. Een praktijk die is opgezet om de organisatie blijvend te dienen, heeft een ander soort charter — met governance, ontwikkelpaden en instroom, niet alleen een opdracht.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23.4 Rollen en een ontwikkelpad: de certificeringsladder als praktijkladder</w:t>
      </w:r>
    </w:p>
    <w:p>
      <w:pPr>
        <w:spacing w:after="160"/>
      </w:pPr>
      <w:r>
        <w:rPr>
          <w:rFonts w:ascii="DM Sans" w:cs="DM Sans" w:eastAsia="DM Sans" w:hAnsi="DM Sans"/>
          <w:color w:val="14213D"/>
          <w:sz w:val="22"/>
          <w:szCs w:val="22"/>
        </w:rPr>
        <w:t xml:space="preserve">De tweede competentie lost een concreet probleem op dat Claudette meteen tegenkomt: acht tot tien architecten kunnen niet allemaal hetzelfde ervaringsniveau hebben, en zonder een expliciet ontwikkelpad ontstaat willekeur in wie welke verantwoordelijkheid krijgt.</w:t>
      </w:r>
    </w:p>
    <w:p>
      <w:pPr>
        <w:spacing w:after="80" w:before="200"/>
        <w:jc w:val="center"/>
      </w:pPr>
      <w:r>
        <w:drawing>
          <wp:inline distT="0" distB="0" distL="0" distR="0">
            <wp:extent cx="5715000" cy="3810000"/>
            <wp:effectExtent t="0" r="0" b="0" l="0"/>
            <wp:docPr id="1" name="figuur-23-3" descr="FIGUUR 23-3: een ladder met vier treden, elk gekoppeld aan een certificeringsniveau uit deze cursus" title="Figuur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23-3</w:t>
      </w:r>
    </w:p>
    <w:p>
      <w:pPr>
        <w:spacing w:after="160"/>
      </w:pPr>
      <w:r>
        <w:rPr>
          <w:rFonts w:ascii="DM Sans" w:cs="DM Sans" w:eastAsia="DM Sans" w:hAnsi="DM Sans"/>
          <w:b/>
          <w:bCs/>
          <w:color w:val="14213D"/>
          <w:sz w:val="22"/>
          <w:szCs w:val="22"/>
        </w:rPr>
        <w:t xml:space="preserve">Het instrument: de praktijkladder, direct gekoppeld aan de certificeringen die deze cursus zelf hanteert.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Praktijkrol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Certificeringsniveau</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deze rol doet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Beginnend architect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richting CITA-F (niveau 1 van deze cursus)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onder begeleiding aan afgebakende opdrachten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Architect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CITA-A in een specialisatie (niveau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draagt een eigen opdracht zoals Claudette bij Mutatieplatform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Senior architect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richting CITA-S (dit niveau)</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draagt verantwoordelijkheid over meerdere opdrachten, mentort beginnende architecten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Principal architect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richting CITA-P (dit niveau, verder uitgewerkt)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draagt strategische verantwoordelijkheid over de hele praktijk, verantwoordt zich richting de directie</w:t>
            </w:r>
          </w:p>
        </w:tc>
      </w:tr>
    </w:tbl>
    <w:p>
      <w:pPr>
        <w:spacing w:after="160"/>
      </w:pP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Zelfreflectie op de vorm van deze cursus.</w:t>
      </w:r>
      <w:r>
        <w:rPr>
          <w:rFonts w:ascii="DM Sans" w:cs="DM Sans" w:eastAsia="DM Sans" w:hAnsi="DM Sans"/>
          <w:i/>
          <w:iCs/>
          <w:color w:val="14213D"/>
          <w:sz w:val="22"/>
          <w:szCs w:val="22"/>
        </w:rPr>
        <w:t xml:space="preserve"> Deze ladder is niet toevallig identiek aan de niveaus van de cursus die je nu volgt. De structuur van deze cursus — drie niveaus, oplopend in certificering — is zelf een praktijkladder, bedoeld om precies dit soort ontwikkelpad te ondersteunen bij Ductus' eigen klanten.</w:t>
      </w:r>
    </w:p>
    <w:p>
      <w:pPr>
        <w:spacing w:after="160"/>
      </w:pPr>
      <w:r>
        <w:rPr>
          <w:rFonts w:ascii="DM Sans" w:cs="DM Sans" w:eastAsia="DM Sans" w:hAnsi="DM Sans"/>
          <w:b/>
          <w:bCs/>
          <w:color w:val="14213D"/>
          <w:sz w:val="22"/>
          <w:szCs w:val="22"/>
        </w:rPr>
        <w:t xml:space="preserve">Waarom dit meer is dan een organigram.</w:t>
      </w:r>
      <w:r>
        <w:rPr>
          <w:rFonts w:ascii="DM Sans" w:cs="DM Sans" w:eastAsia="DM Sans" w:hAnsi="DM Sans"/>
          <w:color w:val="14213D"/>
          <w:sz w:val="22"/>
          <w:szCs w:val="22"/>
        </w:rPr>
        <w:t xml:space="preserve"> Een ladder zonder een concreet groeicriterium per trede is een lijst van titels, geen ontwikkelpad. Voor elke overgang legt Claudette vast wat een architect moet hebben aangetoond — niet "voldoende ervaring" maar concreet: minstens één opdracht met een compleet batenrealisatieplan (deel 15) voor de overgang naar Architect; minstens één keer succesvol een minder ervaren architect begeleid hebben voor de overgang naar Senior architect.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23.5 De eerste opgave: het praktijkcharter voor Wtp</w:t>
      </w:r>
    </w:p>
    <w:p>
      <w:pPr>
        <w:spacing w:after="160"/>
      </w:pPr>
      <w:r>
        <w:rPr>
          <w:rFonts w:ascii="DM Sans" w:cs="DM Sans" w:eastAsia="DM Sans" w:hAnsi="DM Sans"/>
          <w:color w:val="14213D"/>
          <w:sz w:val="22"/>
          <w:szCs w:val="22"/>
        </w:rPr>
        <w:t xml:space="preserve">Claudette stelt het praktijkcharter op en presenteert het aan Bart, met dezelfde discipline als in deel 11: niet als eis, maar als keuzemenu. Een kleine praktijk (vier architecten) zou de Wtp-overgang wel kunnen dragen, maar met een hoger risico op de blinde vlekken die Mutatieplatform in de eerste veertien maanden liet zien — zoals de rekendatumfout uit deel 12, maar dan op de schaal van het hele pensioenstelsel. Een grotere praktijk (acht tot tien architecten) kost meer, maar dekt de risico's beter — in de taal van deel 16: een hogere architectuur-dekkingsgraad.</w:t>
      </w:r>
    </w:p>
    <w:p>
      <w:pPr>
        <w:spacing w:after="160"/>
      </w:pPr>
      <w:r>
        <w:rPr>
          <w:rFonts w:ascii="DM Sans" w:cs="DM Sans" w:eastAsia="DM Sans" w:hAnsi="DM Sans"/>
          <w:color w:val="14213D"/>
          <w:sz w:val="22"/>
          <w:szCs w:val="22"/>
        </w:rPr>
        <w:t xml:space="preserve">Bart kiest, na het zien van de kosten en risico's naast elkaar, voor de grotere praktijk — een beslissing die, net als bij Claudette's eerste gesprek met de programmadirecteur in deel 11, een onderhandeling is geworden in plaats van een eenzijdig opgelegde eis.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23.6 Wat niveau 3 verder brengt</w:t>
      </w:r>
    </w:p>
    <w:p>
      <w:pPr>
        <w:spacing w:after="160"/>
      </w:pPr>
      <w:r>
        <w:rPr>
          <w:rFonts w:ascii="DM Sans" w:cs="DM Sans" w:eastAsia="DM Sans" w:hAnsi="DM Sans"/>
          <w:color w:val="14213D"/>
          <w:sz w:val="22"/>
          <w:szCs w:val="22"/>
        </w:rPr>
        <w:t xml:space="preserve">Het praktijkcharter en de ontwikkelladder leggen het fundament. Ze beantwoorden niet hoe Claudette daadwerkelijk acht tot tien architecten aanstuurt, mentort, en samenbrengt tot één praktijk met een gedeelde cultuur — dat is waar de volgende delen van niveau 3 zich op richten, met de Wtp-overgang als doorlopende, steeds grotere casus.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23.7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Praktijkcharter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opdrachtblad uit deel 11, opgeschaald naar de hele architectuurpraktijk: missie, scope, mandaat, zonder exitcriterium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Project- versus productpraktijk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praktijk opgezet voor één programma is tijdelijk; een praktijk die de organisatie blijvend dient, heeft een ander soort charter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Praktijkladder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vier rollen, direct gekoppeld aan de certificeringsniveaus F/A/S/P, elk met een concreet, toetsbaar groeicriterium</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24 vervolgt de opbouw van de architectuurpraktijk voor de Wtp-overgang.</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eab97da8e2ce02e8b322fad23ab9687cf63bd3.png"/><Relationship Id="rId10" Type="http://schemas.openxmlformats.org/officeDocument/2006/relationships/image" Target="media/35be4f77f9dc740d79a27eaf8b3d58afaac5f1ec.png"/><Relationship Id="rId11" Type="http://schemas.openxmlformats.org/officeDocument/2006/relationships/image" Target="media/568f196ac27bcdcaee915081f2d386cc1e0db65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2026-08-17T16:41:13.306Z</dcterms:created>
  <dcterms:modified xsi:type="dcterms:W3CDTF">2026-08-17T16:41:13.306Z</dcterms:modified>
</cp:coreProperties>
</file>

<file path=docProps/custom.xml><?xml version="1.0" encoding="utf-8"?>
<Properties xmlns="http://schemas.openxmlformats.org/officeDocument/2006/custom-properties" xmlns:vt="http://schemas.openxmlformats.org/officeDocument/2006/docPropsVTypes"/>
</file>