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23 — Werkboek</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23 — De architectuurpraktijk</w:t>
      </w:r>
    </w:p>
    <w:p>
      <w:pPr>
        <w:spacing w:after="160"/>
      </w:pPr>
      <w:r>
        <w:rPr>
          <w:rFonts w:ascii="DM Sans" w:cs="DM Sans" w:eastAsia="DM Sans" w:hAnsi="DM Sans"/>
          <w:b/>
          <w:bCs/>
          <w:color w:val="14213D"/>
          <w:sz w:val="22"/>
          <w:szCs w:val="22"/>
        </w:rPr>
        <w:t xml:space="preserve">Niveau 3 — Board-gereedheid en praktijkleiderschap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Van opdrachtblad naar praktijkcharter</w:t>
      </w:r>
    </w:p>
    <w:p>
      <w:pPr>
        <w:spacing w:after="200"/>
        <w:jc w:val="center"/>
      </w:pPr>
      <w:r>
        <w:rPr>
          <w:rFonts w:ascii="DM Sans" w:cs="DM Sans" w:eastAsia="DM Sans" w:hAnsi="DM Sans"/>
          <w:i/>
          <w:iCs/>
          <w:color w:val="55606F"/>
          <w:sz w:val="22"/>
          <w:szCs w:val="22"/>
        </w:rPr>
        <w:t xml:space="preserve">Individueel, 25 minuten</w:t>
      </w:r>
    </w:p>
    <w:p>
      <w:pPr>
        <w:spacing w:after="160"/>
      </w:pPr>
      <w:r>
        <w:rPr>
          <w:rFonts w:ascii="DM Sans" w:cs="DM Sans" w:eastAsia="DM Sans" w:hAnsi="DM Sans"/>
          <w:color w:val="14213D"/>
          <w:sz w:val="22"/>
          <w:szCs w:val="22"/>
        </w:rPr>
        <w:t xml:space="preserve">Vul, naar het voorbeeld van 23.3, een praktijkcharter in voor een architectuur- of vergelijkbare praktijk in je eigen organisatie (bestaand of denkbeeldig).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Jouw invulling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Opdrachtgever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Type dienst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Scope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"goed" betekent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Mandaat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Exitcriteria (indien van toepassing)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Project- of productpraktijk</w:t>
      </w:r>
    </w:p>
    <w:p>
      <w:pPr>
        <w:spacing w:after="200"/>
        <w:jc w:val="center"/>
      </w:pPr>
      <w:r>
        <w:rPr>
          <w:rFonts w:ascii="DM Sans" w:cs="DM Sans" w:eastAsia="DM Sans" w:hAnsi="DM Sans"/>
          <w:i/>
          <w:iCs/>
          <w:color w:val="55606F"/>
          <w:sz w:val="22"/>
          <w:szCs w:val="22"/>
        </w:rPr>
        <w:t xml:space="preserve">In tweetallen, 15 minuten</w:t>
      </w:r>
    </w:p>
    <w:p>
      <w:pPr>
        <w:spacing w:after="160"/>
      </w:pPr>
      <w:r>
        <w:rPr>
          <w:rFonts w:ascii="DM Sans" w:cs="DM Sans" w:eastAsia="DM Sans" w:hAnsi="DM Sans"/>
          <w:color w:val="14213D"/>
          <w:sz w:val="22"/>
          <w:szCs w:val="22"/>
        </w:rPr>
        <w:t xml:space="preserve">Bespreek: is de praktijk uit opdracht 1 opgezet voor één project, of bedoeld om blijvend te bestaan? Zijn het charter en het mandaat daarop afgestemd, of ontbreekt die afstemming (net als bij Claudette in 23.2)?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De praktijkladder</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Ontwerp een praktijkladder van drie tot vier rollen voor je eigen vakgebied (hoeft geen architectuur te zijn). Voor elke overgang tussen rollen: welk concreet, toetsbaar criterium zou iemand moeten aantonen?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keuzemenu voor praktijkomvang</w:t>
      </w:r>
    </w:p>
    <w:p>
      <w:pPr>
        <w:spacing w:after="200"/>
        <w:jc w:val="center"/>
      </w:pPr>
      <w:r>
        <w:rPr>
          <w:rFonts w:ascii="DM Sans" w:cs="DM Sans" w:eastAsia="DM Sans" w:hAnsi="DM Sans"/>
          <w:i/>
          <w:iCs/>
          <w:color w:val="55606F"/>
          <w:sz w:val="22"/>
          <w:szCs w:val="22"/>
        </w:rPr>
        <w:t xml:space="preserve">In groepen van drie tot vier, 20 minuten</w:t>
      </w:r>
    </w:p>
    <w:p>
      <w:pPr>
        <w:spacing w:after="160"/>
      </w:pPr>
      <w:r>
        <w:rPr>
          <w:rFonts w:ascii="DM Sans" w:cs="DM Sans" w:eastAsia="DM Sans" w:hAnsi="DM Sans"/>
          <w:color w:val="14213D"/>
          <w:sz w:val="22"/>
          <w:szCs w:val="22"/>
        </w:rPr>
        <w:t xml:space="preserve">Stel je voor dat jullie, zoals Claudette, een praktijk moeten voorstellen voor een grote verandering in je eigen organisatie. Presenteer twee opties (klein/goedkoop met hoger risico, groter/duurder met lager risico) als keuzemenu voor een opdrachtgever.</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Van opdrachtblad naar praktijkcharter</w:t>
      </w:r>
    </w:p>
    <w:p>
      <w:pPr>
        <w:spacing w:after="160"/>
      </w:pPr>
      <w:r>
        <w:rPr>
          <w:rFonts w:ascii="DM Sans" w:cs="DM Sans" w:eastAsia="DM Sans" w:hAnsi="DM Sans"/>
          <w:color w:val="14213D"/>
          <w:sz w:val="22"/>
          <w:szCs w:val="22"/>
        </w:rPr>
        <w:t xml:space="preserve">Geen modelantwoord. Verwacht patroon, consistent met eerdere opdrachtblad-oefeningen (deel 11): "exitcriteria" is opnieuw het lastigste veld, nu met een extra laag complexiteit — bij een blijvende praktijk is er vaak geen exitcriterium, en het ontbreken daarvan moet expliciet worden benoemd in plaats van simpelweg leeg gelaten.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Project- of productpraktijk</w:t>
      </w:r>
    </w:p>
    <w:p>
      <w:pPr>
        <w:spacing w:after="160"/>
      </w:pPr>
      <w:r>
        <w:rPr>
          <w:rFonts w:ascii="DM Sans" w:cs="DM Sans" w:eastAsia="DM Sans" w:hAnsi="DM Sans"/>
          <w:color w:val="14213D"/>
          <w:sz w:val="22"/>
          <w:szCs w:val="22"/>
        </w:rPr>
        <w:t xml:space="preserve">Geen modelantwoord. Sterke antwoorden herkennen wanneer een praktijk feitelijk als project is opgezet (tijdelijk budget, geen ontwikkelpad) maar inmiddels een productfunctie is gaan vervullen (blijvend nodig) zonder dat het charter is meegegroeid — precies het patroon uit deel 19, nu op praktijkniveau.</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De praktijkladder</w:t>
      </w:r>
    </w:p>
    <w:p>
      <w:pPr>
        <w:spacing w:after="160"/>
      </w:pPr>
      <w:r>
        <w:rPr>
          <w:rFonts w:ascii="DM Sans" w:cs="DM Sans" w:eastAsia="DM Sans" w:hAnsi="DM Sans"/>
          <w:color w:val="14213D"/>
          <w:sz w:val="22"/>
          <w:szCs w:val="22"/>
        </w:rPr>
        <w:t xml:space="preserve">Geen modelantwoord. Beoordeel op: is het groeicriterium concreet en aantoonbaar (zoals in 23.4: "minstens één opdracht met een compleet batenrealisatieplan"), of vaag ("voldoende ervaring")? Een vaag criterium leidt tot willekeur bij promoties, exact het probleem dat de ladder moet oplossen.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keuzemenu voor praktijkomvang</w:t>
      </w:r>
    </w:p>
    <w:p>
      <w:pPr>
        <w:spacing w:after="160"/>
      </w:pPr>
      <w:r>
        <w:rPr>
          <w:rFonts w:ascii="DM Sans" w:cs="DM Sans" w:eastAsia="DM Sans" w:hAnsi="DM Sans"/>
          <w:color w:val="14213D"/>
          <w:sz w:val="22"/>
          <w:szCs w:val="22"/>
        </w:rPr>
        <w:t xml:space="preserve">Geen modelantwoord; 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echte opties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 "goed" en "slecht", maar twee bruikbare schaalgroottes met elk hun prijs en risico</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Concreet risico bij de kleinere optie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 "het kan misgaan" maar een specifiek, herkenbaar risicotype (vergelijkbaar met de rekendatumfout uit deel 12)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vooringenomen advies dat het besluit overneemt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groep presenteert de opties, de opdrachtgever kiest — dezelfde discipline als deel 2 en deel 8</w:t>
            </w:r>
          </w:p>
        </w:tc>
      </w:tr>
    </w:tbl>
    <w:p>
      <w:pPr>
        <w:spacing w:after="160"/>
      </w:pP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2026-08-17T16:41:13.346Z</dcterms:created>
  <dcterms:modified xsi:type="dcterms:W3CDTF">2026-08-17T16:41:13.346Z</dcterms:modified>
</cp:coreProperties>
</file>

<file path=docProps/custom.xml><?xml version="1.0" encoding="utf-8"?>
<Properties xmlns="http://schemas.openxmlformats.org/officeDocument/2006/custom-properties" xmlns:vt="http://schemas.openxmlformats.org/officeDocument/2006/docPropsVTypes"/>
</file>