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24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24 — Mentoring en ontwikkeling</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mentoring als expliciete, herhaalbare structuur kunnen inrichten in plaats van als informele, persoonsafhankelijke gewoonte — en het onderscheid tussen systeemfout en persoonlijke tekortkoming kunnen toepassen op praktijkschaal.</w:t>
      </w:r>
    </w:p>
    <w:p>
      <w:pPr>
        <w:spacing w:after="160"/>
      </w:pPr>
      <w:r>
        <w:rPr>
          <w:rFonts w:ascii="DM Sans" w:cs="DM Sans" w:eastAsia="DM Sans" w:hAnsi="DM Sans"/>
          <w:b/>
          <w:bCs/>
          <w:color w:val="14213D"/>
          <w:sz w:val="22"/>
          <w:szCs w:val="22"/>
        </w:rPr>
        <w:t xml:space="preserve">Gevoelig onderwerp, net als deel 7 in niveau 1.</w:t>
      </w:r>
      <w:r>
        <w:rPr>
          <w:rFonts w:ascii="DM Sans" w:cs="DM Sans" w:eastAsia="DM Sans" w:hAnsi="DM Sans"/>
          <w:color w:val="14213D"/>
          <w:sz w:val="22"/>
          <w:szCs w:val="22"/>
        </w:rPr>
        <w:t xml:space="preserve"> Fouten en falen liggen dicht bij persoonlijke ervaringen van deelnemers. Behandel dit met dezelfde zorgvuldigheid als de vertrouwelijkheidsregels uit deel 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fout van een beginnend 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mentorafspraak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mentorafspraak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 – 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 – 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 – 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Fouten als leermateriaal, op praktijkschaal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 –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systeemfout of persoonlijke tekortkoming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feedbackritme dat past bij de schaal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het feedbackritme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het introductietraject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beginnend architect; wat dit deel opleverde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vooruitblik deel 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mentorafspraak en opdracht 1 (0:15 – 1:15)</w:t>
      </w:r>
    </w:p>
    <w:p>
      <w:pPr>
        <w:spacing w:after="160"/>
      </w:pPr>
      <w:r>
        <w:rPr>
          <w:rFonts w:ascii="DM Sans" w:cs="DM Sans" w:eastAsia="DM Sans" w:hAnsi="DM Sans"/>
          <w:b/>
          <w:bCs/>
          <w:color w:val="14213D"/>
          <w:sz w:val="22"/>
          <w:szCs w:val="22"/>
        </w:rPr>
        <w:t xml:space="preserve">Verwacht dat "wat mag hier misgaan" opnieuw het lastigste veld is</w:t>
      </w:r>
      <w:r>
        <w:rPr>
          <w:rFonts w:ascii="DM Sans" w:cs="DM Sans" w:eastAsia="DM Sans" w:hAnsi="DM Sans"/>
          <w:color w:val="14213D"/>
          <w:sz w:val="22"/>
          <w:szCs w:val="22"/>
        </w:rPr>
        <w:t xml:space="preserve"> — het vijfde-veld-patroon dat door de hele cursus terugkeert. Vraag door: welke concrete, kleine fout zou je een nieuwe collega toestaan zonder dat het als falen wordt gezien?</w:t>
      </w:r>
    </w:p>
    <w:p>
      <w:pPr>
        <w:pStyle w:val="Heading3"/>
      </w:pPr>
      <w:r>
        <w:rPr>
          <w:rFonts w:ascii="DM Sans" w:cs="DM Sans" w:eastAsia="DM Sans" w:hAnsi="DM Sans"/>
          <w:color w:val="14213D"/>
          <w:sz w:val="22"/>
          <w:szCs w:val="22"/>
        </w:rPr>
        <w:t xml:space="preserve">3.2 Fouten als leermateriaal en opdracht 2 (1:30 – 2:25) — het scharnier</w:t>
      </w:r>
    </w:p>
    <w:p>
      <w:pPr>
        <w:spacing w:after="160"/>
      </w:pPr>
      <w:r>
        <w:rPr>
          <w:rFonts w:ascii="DM Sans" w:cs="DM Sans" w:eastAsia="DM Sans" w:hAnsi="DM Sans"/>
          <w:b/>
          <w:bCs/>
          <w:color w:val="14213D"/>
          <w:sz w:val="22"/>
          <w:szCs w:val="22"/>
        </w:rPr>
        <w:t xml:space="preserve">Wees voorzichtig met de vraag "vertel over een fout die je hebt meegemaakt."</w:t>
      </w:r>
      <w:r>
        <w:rPr>
          <w:rFonts w:ascii="DM Sans" w:cs="DM Sans" w:eastAsia="DM Sans" w:hAnsi="DM Sans"/>
          <w:color w:val="14213D"/>
          <w:sz w:val="22"/>
          <w:szCs w:val="22"/>
        </w:rPr>
        <w:t xml:space="preserve"> Sommige deelnemers zullen persoonlijke, mogelijk pijnlijke ervaringen delen. Geef expliciet de ruimte om een fout van een ander te bespreken in plaats van de eigen fout, als dat prettiger voelt.</w:t>
      </w:r>
    </w:p>
    <w:p>
      <w:pPr>
        <w:spacing w:after="160"/>
      </w:pPr>
      <w:r>
        <w:rPr>
          <w:rFonts w:ascii="DM Sans" w:cs="DM Sans" w:eastAsia="DM Sans" w:hAnsi="DM Sans"/>
          <w:b/>
          <w:bCs/>
          <w:color w:val="14213D"/>
          <w:sz w:val="22"/>
          <w:szCs w:val="22"/>
        </w:rPr>
        <w:t xml:space="preserve">Verwacht bij de nabespreking dat de meeste voorbeelden een afrekenende reactie beschrijven</w:t>
      </w:r>
      <w:r>
        <w:rPr>
          <w:rFonts w:ascii="DM Sans" w:cs="DM Sans" w:eastAsia="DM Sans" w:hAnsi="DM Sans"/>
          <w:color w:val="14213D"/>
          <w:sz w:val="22"/>
          <w:szCs w:val="22"/>
        </w:rPr>
        <w:t xml:space="preserve">, niet een lerende. Dat is consistent met de bevinding uit deel 4 (niveau 1) en hoeft niet gecorrigeerd te worden als "fout" antwoord — het is precies het patroon dat dit deel wil doorbreken.</w:t>
      </w:r>
    </w:p>
    <w:p>
      <w:pPr>
        <w:pStyle w:val="Heading3"/>
      </w:pPr>
      <w:r>
        <w:rPr>
          <w:rFonts w:ascii="DM Sans" w:cs="DM Sans" w:eastAsia="DM Sans" w:hAnsi="DM Sans"/>
          <w:color w:val="14213D"/>
          <w:sz w:val="22"/>
          <w:szCs w:val="22"/>
        </w:rPr>
        <w:t xml:space="preserve">3.3 Opdracht 4 (3:15 – 3:35)</w:t>
      </w:r>
    </w:p>
    <w:p>
      <w:pPr>
        <w:spacing w:after="160"/>
      </w:pPr>
      <w:r>
        <w:rPr>
          <w:rFonts w:ascii="DM Sans" w:cs="DM Sans" w:eastAsia="DM Sans" w:hAnsi="DM Sans"/>
          <w:b/>
          <w:bCs/>
          <w:color w:val="14213D"/>
          <w:sz w:val="22"/>
          <w:szCs w:val="22"/>
        </w:rPr>
        <w:t xml:space="preserve">Laat groepen concreet worden.</w:t>
      </w:r>
      <w:r>
        <w:rPr>
          <w:rFonts w:ascii="DM Sans" w:cs="DM Sans" w:eastAsia="DM Sans" w:hAnsi="DM Sans"/>
          <w:color w:val="14213D"/>
          <w:sz w:val="22"/>
          <w:szCs w:val="22"/>
        </w:rPr>
        <w:t xml:space="preserve"> "Onze cultuur" of "onze werkwijze" is te vaag als introductiepunt — vraag naar specifieke instrumenten, documenten, of gewoontes, vergelijkbaar met "het besluitenlogboek" uit de casus.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Mentorafspraak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toepasbaar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Introductietraject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25 (community of practice)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Mentorafspraak-sjabloon op A4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25 behandelt community of practice: hoe acht tot tien architecten, verspreid over verschillende Wtp-werkstromen, een gedeelde praktijk blijven vormen in plaats van los van elkaar te opereren. Dit bouwt voort op het gedeelde besluitenlogboek (deel 17) en de patroonkaart, nu toegepast op een praktijk die fysiek en organisatorisch verspreid werkt. Bereid je voor door de reader van deel 25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2026-08-17T16:41:13.489Z</dcterms:created>
  <dcterms:modified xsi:type="dcterms:W3CDTF">2026-08-17T16:41:13.489Z</dcterms:modified>
</cp:coreProperties>
</file>

<file path=docProps/custom.xml><?xml version="1.0" encoding="utf-8"?>
<Properties xmlns="http://schemas.openxmlformats.org/officeDocument/2006/custom-properties" xmlns:vt="http://schemas.openxmlformats.org/officeDocument/2006/docPropsVTypes"/>
</file>