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24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24 — Mentoring en ontwikkeling</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24.1 Waar dit deel over gaat</w:t>
      </w:r>
    </w:p>
    <w:p>
      <w:pPr>
        <w:spacing w:after="160"/>
      </w:pPr>
      <w:r>
        <w:rPr>
          <w:rFonts w:ascii="DM Sans" w:cs="DM Sans" w:eastAsia="DM Sans" w:hAnsi="DM Sans"/>
          <w:color w:val="14213D"/>
          <w:sz w:val="22"/>
          <w:szCs w:val="22"/>
        </w:rPr>
        <w:t xml:space="preserve">De praktijkladder uit deel 23 beschrijft vier rollen en de criteria om ertussen te bewegen. Dit deel gaat over wat er dagelijks moet gebeuren om iemand daadwerkelijk van de ene trede naar de andere te krijgen: mentoring. Zonder een expliciete mentoringstructuur blijft een ladder een document op papier, geen praktijk.</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mentorafspraak opstellen die concreet maakt wie welke verantwoordelijkheid draagt;</w:t>
      </w:r>
    </w:p>
    <w:p>
      <w:pPr>
        <w:pStyle w:val="ListParagraph"/>
        <w:numPr>
          <w:ilvl w:val="0"/>
          <w:numId w:val="2"/>
        </w:numPr>
      </w:pPr>
      <w:r>
        <w:rPr>
          <w:rFonts w:ascii="DM Sans" w:cs="DM Sans" w:eastAsia="DM Sans" w:hAnsi="DM Sans"/>
          <w:color w:val="14213D"/>
          <w:sz w:val="22"/>
          <w:szCs w:val="22"/>
        </w:rPr>
        <w:t xml:space="preserve">het verschil toepassen tussen een cultuur die fouten afstraft en een cultuur die fouten als leermateriaal behandelt, nu op praktijkniveau;</w:t>
      </w:r>
    </w:p>
    <w:p>
      <w:pPr>
        <w:pStyle w:val="ListParagraph"/>
        <w:numPr>
          <w:ilvl w:val="0"/>
          <w:numId w:val="2"/>
        </w:numPr>
      </w:pPr>
      <w:r>
        <w:rPr>
          <w:rFonts w:ascii="DM Sans" w:cs="DM Sans" w:eastAsia="DM Sans" w:hAnsi="DM Sans"/>
          <w:color w:val="14213D"/>
          <w:sz w:val="22"/>
          <w:szCs w:val="22"/>
        </w:rPr>
        <w:t xml:space="preserve">een terugkerend feedbackritme inrichten dat past bij de schaal van een groeiende praktijk.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24.2 De fout van een beginnend architect</w:t>
      </w:r>
    </w:p>
    <w:p>
      <w:pPr>
        <w:spacing w:after="160"/>
      </w:pPr>
      <w:r>
        <w:rPr>
          <w:rFonts w:ascii="DM Sans" w:cs="DM Sans" w:eastAsia="DM Sans" w:hAnsi="DM Sans"/>
          <w:color w:val="14213D"/>
          <w:sz w:val="22"/>
          <w:szCs w:val="22"/>
        </w:rPr>
        <w:t xml:space="preserve">Zes weken na de start van de Wtp-architectuurpraktijk maakt een net aangenomen beginnend architect een kostbare fout: hij ontwerpt een koppelvlak voor een deelproces zonder eerst het gedeelde besluitenlogboek (deel 17) te raadplegen. Een bijna identiek patroon bestond al, vastgelegd door een collega drie maanden eerder. Het gevolg is twee weken herbouw.</w:t>
      </w:r>
    </w:p>
    <w:p>
      <w:pPr>
        <w:spacing w:after="80" w:before="200"/>
        <w:jc w:val="center"/>
      </w:pPr>
      <w:r>
        <w:drawing>
          <wp:inline distT="0" distB="0" distL="0" distR="0">
            <wp:extent cx="5715000" cy="3810000"/>
            <wp:effectExtent t="0" r="0" b="0" l="0"/>
            <wp:docPr id="1" name="figuur-24-1" descr="FIGUUR 24-1: de nieuwe architect met zijn ontwerp naast het bestaande, drie maanden oudere besluit — bijna identiek" title="Figuur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24-1</w:t>
      </w:r>
    </w:p>
    <w:p>
      <w:pPr>
        <w:spacing w:after="160"/>
      </w:pPr>
      <w:r>
        <w:rPr>
          <w:rFonts w:ascii="DM Sans" w:cs="DM Sans" w:eastAsia="DM Sans" w:hAnsi="DM Sans"/>
          <w:color w:val="14213D"/>
          <w:sz w:val="22"/>
          <w:szCs w:val="22"/>
        </w:rPr>
        <w:t xml:space="preserve">Claudette's eerste reactie is teleurstelling, maar bij nader onderzoek blijkt er geen sprake van onzorgvuldigheid: niemand had deze architect ooit verteld dat het besluitenlogboek bestond, laat staan hoe je het raadpleegt. Er was geen mentor toegewezen, geen introductietraject, geen enkel moment waarop deze kennis werd overgedragen.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24.3 De mentorafspraak</w:t>
      </w:r>
    </w:p>
    <w:p>
      <w:pPr>
        <w:spacing w:after="160"/>
      </w:pPr>
      <w:r>
        <w:rPr>
          <w:rFonts w:ascii="DM Sans" w:cs="DM Sans" w:eastAsia="DM Sans" w:hAnsi="DM Sans"/>
          <w:color w:val="14213D"/>
          <w:sz w:val="22"/>
          <w:szCs w:val="22"/>
        </w:rPr>
        <w:t xml:space="preserve">De eerste competentie van dit deel is een instrument dat mentoring net zo expliciet maakt als elke andere afspraak in deze cursus.</w:t>
      </w:r>
    </w:p>
    <w:p>
      <w:pPr>
        <w:spacing w:after="80" w:before="200"/>
        <w:jc w:val="center"/>
      </w:pPr>
      <w:r>
        <w:drawing>
          <wp:inline distT="0" distB="0" distL="0" distR="0">
            <wp:extent cx="5715000" cy="3810000"/>
            <wp:effectExtent t="0" r="0" b="0" l="0"/>
            <wp:docPr id="1" name="figuur-24-2" descr="FIGUUR 24-2: de mentorafspraak als kaart — mentor, mentee, cadans, focus, en het veld &quot;wat mag hier misgaan&quot;" title="Figuur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24-2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Inhoud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Mentor en mentee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is gekoppeld aan wie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Cadans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vaak, en in welke vorm (wekelijks kort, tweewekelijks langer)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Focus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competenties uit de praktijkladder (deel 23) staan centraal voor deze mentee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Introductiepunten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instrumenten die elke nieuwe architect binnen de eerste maand moet kennen — besluitenlogboek, patroonkaart, opdrachtblad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mag hier misgaan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benoemde, veilige fouten — ruimte om te oefenen zonder dat het als falen wordt gezien</w:t>
            </w:r>
          </w:p>
        </w:tc>
      </w:tr>
    </w:tbl>
    <w:p>
      <w:pPr>
        <w:spacing w:after="160"/>
      </w:pPr>
    </w:p>
    <w:p>
      <w:pPr>
        <w:spacing w:after="160"/>
      </w:pPr>
      <w:r>
        <w:rPr>
          <w:rFonts w:ascii="DM Sans" w:cs="DM Sans" w:eastAsia="DM Sans" w:hAnsi="DM Sans"/>
          <w:color w:val="14213D"/>
          <w:sz w:val="22"/>
          <w:szCs w:val="22"/>
        </w:rPr>
        <w:t xml:space="preserve">Het laatste veld is, zoals gebruikelijk in deze cursus, het veld dat het verschil maakt. Zonder een expliciete afspraak over welke fouten binnen de leercurve vallen, wordt elke fout — groot of klein — hetzelfde behandeld, en dat ontmoedigt precies het soort experimenteren waardoor mensen leren.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24.4 Een cultuur die fouten als leermateriaal behandelt, op praktijkniveau</w:t>
      </w:r>
    </w:p>
    <w:p>
      <w:pPr>
        <w:spacing w:after="160"/>
      </w:pPr>
      <w:r>
        <w:rPr>
          <w:rFonts w:ascii="DM Sans" w:cs="DM Sans" w:eastAsia="DM Sans" w:hAnsi="DM Sans"/>
          <w:color w:val="14213D"/>
          <w:sz w:val="22"/>
          <w:szCs w:val="22"/>
        </w:rPr>
        <w:t xml:space="preserve">De tweede competentie herhaalt een inzicht uit deel 4 (niveau 1) — wat er gebeurt na een fout is een van de scherpste signalen van de werkelijke cultuur — maar tilt het naar het niveau van een hele praktijk in plaats van één team.</w:t>
      </w:r>
    </w:p>
    <w:p>
      <w:pPr>
        <w:spacing w:after="80" w:before="200"/>
        <w:jc w:val="center"/>
      </w:pPr>
      <w:r>
        <w:drawing>
          <wp:inline distT="0" distB="0" distL="0" distR="0">
            <wp:extent cx="5715000" cy="3810000"/>
            <wp:effectExtent t="0" r="0" b="0" l="0"/>
            <wp:docPr id="1" name="figuur-24-3" descr="FIGUUR 24-3: twee reacties op dezelfde fout naast elkaar — afrekenend versus lerend, met het effect op toekomstig gedrag" title="Figuur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24-3</w:t>
      </w:r>
    </w:p>
    <w:p>
      <w:pPr>
        <w:spacing w:after="160"/>
      </w:pPr>
      <w:r>
        <w:rPr>
          <w:rFonts w:ascii="DM Sans" w:cs="DM Sans" w:eastAsia="DM Sans" w:hAnsi="DM Sans"/>
          <w:color w:val="14213D"/>
          <w:sz w:val="22"/>
          <w:szCs w:val="22"/>
        </w:rPr>
        <w:t xml:space="preserve">Claudette kiest ervoor de fout van de beginnend architect niet individueel te bespreken maar — met zijn toestemming — als leermoment voor de hele praktijk te gebruiken: een korte sessie waarin het gedeelde besluitenlogboek nog eens wordt doorgenomen, zonder de naam van de architect te noemen als schuldige. De boodschap die dit uitzendt: een gemiste stap is een systeemfout (geen introductietraject) totdat het tegendeel blijkt, niet automatisch een persoonlijke tekortkoming.</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Waarom dit ertoe doet op praktijkschaal.</w:t>
      </w:r>
      <w:r>
        <w:rPr>
          <w:rFonts w:ascii="DM Sans" w:cs="DM Sans" w:eastAsia="DM Sans" w:hAnsi="DM Sans"/>
          <w:i/>
          <w:iCs/>
          <w:color w:val="14213D"/>
          <w:sz w:val="22"/>
          <w:szCs w:val="22"/>
        </w:rPr>
        <w:t xml:space="preserve"> Bij één architect (zoals in niveau 1 en 2) is een afrekenende cultuur een probleem voor die ene relatie. Bij een praktijk van acht tot tien architecten wordt een afrekenende cultuur een systeemeigenschap: iedereen leert tegelijk om fouten te verbergen in plaats van te melden, en de praktijk als geheel verliest zijn vermogen om te leren.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24.5 Een feedbackritme dat past bij de schaal</w:t>
      </w:r>
    </w:p>
    <w:p>
      <w:pPr>
        <w:spacing w:after="160"/>
      </w:pPr>
      <w:r>
        <w:rPr>
          <w:rFonts w:ascii="DM Sans" w:cs="DM Sans" w:eastAsia="DM Sans" w:hAnsi="DM Sans"/>
          <w:color w:val="14213D"/>
          <w:sz w:val="22"/>
          <w:szCs w:val="22"/>
        </w:rPr>
        <w:t xml:space="preserve">De derde competentie regelt de frequentie en vorm van feedback op praktijkniveau. Bij één mentor-mentee-relatie (zoals informeel bij Mutatieplatform) volstond een ad-hoc gesprek. Bij acht tot tien architecten, elk met hun eigen mentor, ontstaat het risico dat feedback inconsistent wordt — sommige mentees krijgen wekelijkse aandacht, andere maandenlang niets.</w:t>
      </w:r>
    </w:p>
    <w:p>
      <w:pPr>
        <w:spacing w:after="80" w:before="200"/>
        <w:jc w:val="center"/>
      </w:pPr>
      <w:r>
        <w:drawing>
          <wp:inline distT="0" distB="0" distL="0" distR="0">
            <wp:extent cx="5715000" cy="3810000"/>
            <wp:effectExtent t="0" r="0" b="0" l="0"/>
            <wp:docPr id="1" name="figuur-24-4" descr="FIGUUR 24-4: een feedbackritme-kalender — vaste, korte contactmomenten per mentorkoppel, gesynchroniseerd met het kwartaalritme uit deel 19" title="Figuur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24-4</w:t>
      </w:r>
    </w:p>
    <w:p>
      <w:pPr>
        <w:spacing w:after="160"/>
      </w:pPr>
      <w:r>
        <w:rPr>
          <w:rFonts w:ascii="DM Sans" w:cs="DM Sans" w:eastAsia="DM Sans" w:hAnsi="DM Sans"/>
          <w:b/>
          <w:bCs/>
          <w:color w:val="14213D"/>
          <w:sz w:val="22"/>
          <w:szCs w:val="22"/>
        </w:rPr>
        <w:t xml:space="preserve">Het instrument: een vast, licht feedbackritme, gekoppeld aan hetzelfde kwartaalmoment als de roadmap (deel 19) en de stakeholderkaart (deel 17).</w:t>
      </w:r>
      <w:r>
        <w:rPr>
          <w:rFonts w:ascii="DM Sans" w:cs="DM Sans" w:eastAsia="DM Sans" w:hAnsi="DM Sans"/>
          <w:color w:val="14213D"/>
          <w:sz w:val="22"/>
          <w:szCs w:val="22"/>
        </w:rPr>
        <w:t xml:space="preserve"> Elk kwartaal: een kort overzicht per mentee, waar hij op de praktijkladder staat, en welk introductiepunt of groeicriterium als volgende aan de beurt is. Dit vervangt geen wekelijks persoonlijk contact — dat blijft aan het mentorkoppel zelf — maar zorgt dat niemand structureel buiten beeld valt.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24.6 Terug naar de beginnend architect</w:t>
      </w:r>
    </w:p>
    <w:p>
      <w:pPr>
        <w:spacing w:after="160"/>
      </w:pPr>
      <w:r>
        <w:rPr>
          <w:rFonts w:ascii="DM Sans" w:cs="DM Sans" w:eastAsia="DM Sans" w:hAnsi="DM Sans"/>
          <w:color w:val="14213D"/>
          <w:sz w:val="22"/>
          <w:szCs w:val="22"/>
        </w:rPr>
        <w:t xml:space="preserve">Drie maanden na zijn fout heeft de beginnend architect, met een toegewezen mentor en een expliciete mentorafspraak, zijn eerste zelfstandige koppelvlakontwerp voltooid — deze keer na het besluitenlogboek te hebben geraadpleegd, met een verwijzing naar het patroon dat hij eerder had gemist. Dat is precies het groeicriterium uit de praktijkladder (deel 23) voor de overgang naar Architect, en Claudette markeert het als zodanig.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Mentorafspraak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mentor, mentee, cadans, focus, introductiepunten, en expliciet "wat mag hier misgaan"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Systeemfout versus persoonlijke tekortkoming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gemiste stap is eerst een ontbrekend introductietraject, niet automatisch een individuele fout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Feedbackritme op praktijkschaal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vast, licht, kwartaalgebonden overzicht per mentee, naast het informele contact van het mentorkoppel zelf</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25 — Community of practice. Acht tot tien architecten, verspreid over verschillende Wtp-werkstromen, dreigen uiteen te groeien tot losse eilandjes.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b85e7becfa2adf5ed964ef4d4a5ef8694e595c.png"/><Relationship Id="rId10" Type="http://schemas.openxmlformats.org/officeDocument/2006/relationships/image" Target="media/c4a5f0030840aeaa079f943500df67ff3e40f1f2.png"/><Relationship Id="rId11" Type="http://schemas.openxmlformats.org/officeDocument/2006/relationships/image" Target="media/890e7b0446343e4bb23cb0c367aae3f730b3331b.png"/><Relationship Id="rId12" Type="http://schemas.openxmlformats.org/officeDocument/2006/relationships/image" Target="media/08c5f3ffea4544ee266e236b963f11daef047a8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2026-08-17T16:41:13.423Z</dcterms:created>
  <dcterms:modified xsi:type="dcterms:W3CDTF">2026-08-17T16:41:13.423Z</dcterms:modified>
</cp:coreProperties>
</file>

<file path=docProps/custom.xml><?xml version="1.0" encoding="utf-8"?>
<Properties xmlns="http://schemas.openxmlformats.org/officeDocument/2006/custom-properties" xmlns:vt="http://schemas.openxmlformats.org/officeDocument/2006/docPropsVTypes"/>
</file>