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28 — Docentenhandleiding</w:t>
      </w:r>
    </w:p>
    <w:p>
      <w:pPr>
        <w:spacing w:after="800" w:before="200"/>
        <w:jc w:val="center"/>
      </w:pPr>
      <w:r>
        <w:rPr>
          <w:rFonts w:ascii="DM Sans" w:cs="DM Sans" w:eastAsia="DM Sans" w:hAnsi="DM Sans"/>
          <w:color w:val="55606F"/>
          <w:sz w:val="26"/>
          <w:szCs w:val="26"/>
        </w:rPr>
        <w:t xml:space="preserve">Niveau 3 · BTABoK</w:t>
      </w:r>
    </w:p>
    <w:p>
      <w:r>
        <w:br w:type="page"/>
      </w:r>
    </w:p>
    <w:p>
      <w:pPr>
        <w:pStyle w:val="Heading1"/>
      </w:pPr>
      <w:r>
        <w:rPr>
          <w:rFonts w:ascii="DM Sans" w:cs="DM Sans" w:eastAsia="DM Sans" w:hAnsi="DM Sans"/>
          <w:color w:val="14213D"/>
          <w:sz w:val="22"/>
          <w:szCs w:val="22"/>
        </w:rPr>
        <w:t xml:space="preserve">Deel 28 — Risicobeheer en continuïteit op praktijkschaal</w:t>
      </w:r>
    </w:p>
    <w:p>
      <w:pPr>
        <w:spacing w:after="160"/>
      </w:pPr>
      <w:r>
        <w:rPr>
          <w:rFonts w:ascii="DM Sans" w:cs="DM Sans" w:eastAsia="DM Sans" w:hAnsi="DM Sans"/>
          <w:b/>
          <w:bCs/>
          <w:color w:val="14213D"/>
          <w:sz w:val="22"/>
          <w:szCs w:val="22"/>
        </w:rPr>
        <w:t xml:space="preserve">Niveau 3 — Board-gereedheid en praktijkleiderschap | Docentenhandleiding</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Wat dit deel moet doen</w:t>
      </w:r>
    </w:p>
    <w:p>
      <w:pPr>
        <w:spacing w:after="160"/>
      </w:pPr>
      <w:r>
        <w:rPr>
          <w:rFonts w:ascii="DM Sans" w:cs="DM Sans" w:eastAsia="DM Sans" w:hAnsi="DM Sans"/>
          <w:b/>
          <w:bCs/>
          <w:color w:val="14213D"/>
          <w:sz w:val="22"/>
          <w:szCs w:val="22"/>
        </w:rPr>
        <w:t xml:space="preserve">Hoofddoel:</w:t>
      </w:r>
      <w:r>
        <w:rPr>
          <w:rFonts w:ascii="DM Sans" w:cs="DM Sans" w:eastAsia="DM Sans" w:hAnsi="DM Sans"/>
          <w:color w:val="14213D"/>
          <w:sz w:val="22"/>
          <w:szCs w:val="22"/>
        </w:rPr>
        <w:t xml:space="preserve"> deelnemers moeten een crisisprotocol en een vervangingsplan kunnen opstellen die daadwerkelijk werken — niet als documenten die nooit worden geraadpleegd, maar als voorzieningen die getoetst zijn.</w:t>
      </w:r>
    </w:p>
    <w:p>
      <w:pPr>
        <w:spacing w:after="160"/>
      </w:pPr>
      <w:r>
        <w:rPr>
          <w:rFonts w:ascii="DM Sans" w:cs="DM Sans" w:eastAsia="DM Sans" w:hAnsi="DM Sans"/>
          <w:b/>
          <w:bCs/>
          <w:color w:val="14213D"/>
          <w:sz w:val="22"/>
          <w:szCs w:val="22"/>
        </w:rPr>
        <w:t xml:space="preserve">Kader voor de hele sessie:</w:t>
      </w:r>
      <w:r>
        <w:rPr>
          <w:rFonts w:ascii="DM Sans" w:cs="DM Sans" w:eastAsia="DM Sans" w:hAnsi="DM Sans"/>
          <w:color w:val="14213D"/>
          <w:sz w:val="22"/>
          <w:szCs w:val="22"/>
        </w:rPr>
        <w:t xml:space="preserve"> dit deel neemt twee eerdere instrumenten (het risicoregister uit deel 16, de legacytriage uit deel 9) en past ze toe op nieuwe situaties: een crisis in plaats van een gepland risico, en een persoon in plaats van een systeem. Maak die overeenkomst expliciet bij de introductie van elk instrument.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Tijdsindeling — één dagdeel (4 uur)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 – 0:15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Twee dagen onbereikbaar, midden in een incident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verhaal + slides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0:15 – 0:35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crisisprotocol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0:35 – 1:00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1 — het crisisprotocol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1:00 – 1:20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Nabespreking opdracht 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1:20 – 1:35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1:35 – 1:55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Beheersen versus oorzaak wegnemen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1:55 – 2:10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2 — beheersen of wegnemen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2:10 – 2:30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vervangingsplan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2:30 – 2:45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2:45 – 3:05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3 — het vervangingsplan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3:05 – 3:25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4 — de geoefende test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groepen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3:25 – 3:45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Terug naar de crisis; wat dit deel opleverde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3:45 – 4:30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Marge, vooruitblik deel 29</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Per onderdeel: aanpak en valkuilen</w:t>
      </w:r>
    </w:p>
    <w:p>
      <w:pPr>
        <w:pStyle w:val="Heading3"/>
      </w:pPr>
      <w:r>
        <w:rPr>
          <w:rFonts w:ascii="DM Sans" w:cs="DM Sans" w:eastAsia="DM Sans" w:hAnsi="DM Sans"/>
          <w:color w:val="14213D"/>
          <w:sz w:val="22"/>
          <w:szCs w:val="22"/>
        </w:rPr>
        <w:t xml:space="preserve">3.1 Het crisisprotocol en opdracht 1 (0:15 – 1:20)</w:t>
      </w:r>
    </w:p>
    <w:p>
      <w:pPr>
        <w:spacing w:after="160"/>
      </w:pPr>
      <w:r>
        <w:rPr>
          <w:rFonts w:ascii="DM Sans" w:cs="DM Sans" w:eastAsia="DM Sans" w:hAnsi="DM Sans"/>
          <w:b/>
          <w:bCs/>
          <w:color w:val="14213D"/>
          <w:sz w:val="22"/>
          <w:szCs w:val="22"/>
        </w:rPr>
        <w:t xml:space="preserve">Verwacht dat "tijdelijk beslismandaat" het lastigste veld is</w:t>
      </w:r>
      <w:r>
        <w:rPr>
          <w:rFonts w:ascii="DM Sans" w:cs="DM Sans" w:eastAsia="DM Sans" w:hAnsi="DM Sans"/>
          <w:color w:val="14213D"/>
          <w:sz w:val="22"/>
          <w:szCs w:val="22"/>
        </w:rPr>
        <w:t xml:space="preserve">, net als bij eerdere vierde/vijfde velden in deze cursus. Vraag door: wie in de organisatie zou, vandaag, kunnen beslissen als de gebruikelijke beslisser niet bereikbaar is? Bij veel deelnemers is het antwoord "niemand," en dat is precies de bevinding die de oefening moet opleveren.</w:t>
      </w:r>
    </w:p>
    <w:p>
      <w:pPr>
        <w:pStyle w:val="Heading3"/>
      </w:pPr>
      <w:r>
        <w:rPr>
          <w:rFonts w:ascii="DM Sans" w:cs="DM Sans" w:eastAsia="DM Sans" w:hAnsi="DM Sans"/>
          <w:color w:val="14213D"/>
          <w:sz w:val="22"/>
          <w:szCs w:val="22"/>
        </w:rPr>
        <w:t xml:space="preserve">3.2 Het vervangingsplan en opdracht 3 (2:10 – 3:05) — het scharnier</w:t>
      </w:r>
    </w:p>
    <w:p>
      <w:pPr>
        <w:spacing w:after="160"/>
      </w:pPr>
      <w:r>
        <w:rPr>
          <w:rFonts w:ascii="DM Sans" w:cs="DM Sans" w:eastAsia="DM Sans" w:hAnsi="DM Sans"/>
          <w:b/>
          <w:bCs/>
          <w:color w:val="14213D"/>
          <w:sz w:val="22"/>
          <w:szCs w:val="22"/>
        </w:rPr>
        <w:t xml:space="preserve">Dit onderdeel kan gevoelig liggen</w:t>
      </w:r>
      <w:r>
        <w:rPr>
          <w:rFonts w:ascii="DM Sans" w:cs="DM Sans" w:eastAsia="DM Sans" w:hAnsi="DM Sans"/>
          <w:color w:val="14213D"/>
          <w:sz w:val="22"/>
          <w:szCs w:val="22"/>
        </w:rPr>
        <w:t xml:space="preserve"> — sommige deelnemers ervaren de vraag "wie is onmisbaar" als bedreigend voor hun eigen positie. Herformuleer indien nodig: het gaat niet om het aanwijzen van overbodigheid, maar om het beschermen van de organisatie tegen een risico dat iedereen — ook de deelnemer zelf — ten goede komt als het wordt afgedekt.</w:t>
      </w:r>
    </w:p>
    <w:p>
      <w:pPr>
        <w:pStyle w:val="Heading3"/>
      </w:pPr>
      <w:r>
        <w:rPr>
          <w:rFonts w:ascii="DM Sans" w:cs="DM Sans" w:eastAsia="DM Sans" w:hAnsi="DM Sans"/>
          <w:color w:val="14213D"/>
          <w:sz w:val="22"/>
          <w:szCs w:val="22"/>
        </w:rPr>
        <w:t xml:space="preserve">3.3 Opdracht 4 (3:05 – 3:25)</w:t>
      </w:r>
    </w:p>
    <w:p>
      <w:pPr>
        <w:spacing w:after="160"/>
      </w:pPr>
      <w:r>
        <w:rPr>
          <w:rFonts w:ascii="DM Sans" w:cs="DM Sans" w:eastAsia="DM Sans" w:hAnsi="DM Sans"/>
          <w:b/>
          <w:bCs/>
          <w:color w:val="14213D"/>
          <w:sz w:val="22"/>
          <w:szCs w:val="22"/>
        </w:rPr>
        <w:t xml:space="preserve">Houd de voorgestelde test klein.</w:t>
      </w:r>
      <w:r>
        <w:rPr>
          <w:rFonts w:ascii="DM Sans" w:cs="DM Sans" w:eastAsia="DM Sans" w:hAnsi="DM Sans"/>
          <w:color w:val="14213D"/>
          <w:sz w:val="22"/>
          <w:szCs w:val="22"/>
        </w:rPr>
        <w:t xml:space="preserve"> Een veelgemaakte fout is een te ambitieuze oefening voorstellen die vervolgens nooit wordt uitgevoerd. Verwijs naar Claudette's voorbeeld: één dag, één kleine gesimuleerde situatie.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Beoordeling en dossiervorming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 bewaard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Waarvoor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Crisisprotocol (opdracht 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deelnemersmap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direct toepasbaar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Vervangingsplan (opdracht 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deelnemersmap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kern van het board-dossier voor deel 30</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Benodigdheden</w:t>
      </w:r>
    </w:p>
    <w:p>
      <w:pPr>
        <w:pStyle w:val="ListParagraph"/>
        <w:numPr>
          <w:ilvl w:val="0"/>
          <w:numId w:val="2"/>
        </w:numPr>
      </w:pPr>
      <w:r>
        <w:rPr>
          <w:rFonts w:ascii="DM Sans" w:cs="DM Sans" w:eastAsia="DM Sans" w:hAnsi="DM Sans"/>
          <w:color w:val="14213D"/>
          <w:sz w:val="22"/>
          <w:szCs w:val="22"/>
        </w:rPr>
        <w:t xml:space="preserve">Crisisprotocol-sjabloon en vervangingsplan-sjabloon op A4</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Vooruitblik voor de docent</w:t>
      </w:r>
    </w:p>
    <w:p>
      <w:pPr>
        <w:spacing w:after="160"/>
      </w:pPr>
      <w:r>
        <w:rPr>
          <w:rFonts w:ascii="DM Sans" w:cs="DM Sans" w:eastAsia="DM Sans" w:hAnsi="DM Sans"/>
          <w:color w:val="14213D"/>
          <w:sz w:val="22"/>
          <w:szCs w:val="22"/>
        </w:rPr>
        <w:t xml:space="preserve">Deel 29 behandelt de gedragscode voor senior architecten: wat te doen als eerlijke rapportage en politieke druk botsen op het hoogste niveau van een organisatie. Dit herneemt de gedragscode-canons uit deel 1 (niveau 1) en past ze toe op de zwaarste situaties die een senior architect kan tegenkomen. Bereid je voor door de reader van deel 29 door te nemen.</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2026-08-17T16:41:14.006Z</dcterms:created>
  <dcterms:modified xsi:type="dcterms:W3CDTF">2026-08-17T16:41:14.006Z</dcterms:modified>
</cp:coreProperties>
</file>

<file path=docProps/custom.xml><?xml version="1.0" encoding="utf-8"?>
<Properties xmlns="http://schemas.openxmlformats.org/officeDocument/2006/custom-properties" xmlns:vt="http://schemas.openxmlformats.org/officeDocument/2006/docPropsVTypes"/>
</file>