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 — Werkboek</w:t>
      </w:r>
    </w:p>
    <w:p>
      <w:pPr>
        <w:spacing w:after="800" w:before="200"/>
        <w:jc w:val="center"/>
      </w:pPr>
      <w:r>
        <w:rPr>
          <w:rFonts w:ascii="DM Sans" w:cs="DM Sans" w:eastAsia="DM Sans" w:hAnsi="DM Sans"/>
          <w:color w:val="55606F"/>
          <w:sz w:val="26"/>
          <w:szCs w:val="26"/>
        </w:rPr>
        <w:t xml:space="preserve">Niveau 1 · Databasemanagement</w:t>
      </w:r>
    </w:p>
    <w:p>
      <w:r>
        <w:br w:type="page"/>
      </w:r>
    </w:p>
    <w:p>
      <w:pPr>
        <w:pStyle w:val="Heading1"/>
      </w:pPr>
      <w:r>
        <w:rPr>
          <w:rFonts w:ascii="DM Sans" w:cs="DM Sans" w:eastAsia="DM Sans" w:hAnsi="DM Sans"/>
          <w:color w:val="14213D"/>
          <w:sz w:val="22"/>
          <w:szCs w:val="22"/>
        </w:rPr>
        <w:t xml:space="preserve">Deel 1 — Werkboek</w:t>
      </w:r>
    </w:p>
    <w:p>
      <w:pPr>
        <w:spacing w:after="160"/>
      </w:pPr>
      <w:r>
        <w:rPr>
          <w:rFonts w:ascii="DM Sans" w:cs="DM Sans" w:eastAsia="DM Sans" w:hAnsi="DM Sans"/>
          <w:b/>
          <w:bCs/>
          <w:color w:val="14213D"/>
          <w:sz w:val="22"/>
          <w:szCs w:val="22"/>
        </w:rPr>
        <w:t xml:space="preserve">Cursus Databasemanagement — Niveau 1, deel 1: Databases en het DBMS-landschap</w:t>
      </w:r>
    </w:p>
    <w:p>
      <w:pPr>
        <w:spacing w:after="160"/>
      </w:pPr>
      <w:r>
        <w:rPr>
          <w:rFonts w:ascii="DM Sans" w:cs="DM Sans" w:eastAsia="DM Sans" w:hAnsi="DM Sans"/>
          <w:color w:val="14213D"/>
          <w:sz w:val="22"/>
          <w:szCs w:val="22"/>
        </w:rPr>
        <w:t xml:space="preserve">Werkboek met opdrachten en volledige uitwerkingen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Zo gebruik je dit werkboek</w:t>
      </w:r>
    </w:p>
    <w:p>
      <w:pPr>
        <w:spacing w:after="160"/>
      </w:pPr>
      <w:r>
        <w:rPr>
          <w:rFonts w:ascii="DM Sans" w:cs="DM Sans" w:eastAsia="DM Sans" w:hAnsi="DM Sans"/>
          <w:color w:val="14213D"/>
          <w:sz w:val="22"/>
          <w:szCs w:val="22"/>
        </w:rPr>
        <w:t xml:space="preserve">De opdrachten volgen de reader. Werk ze eerst zelfstandig uit; de uitwerkingen staan achteraan. Bij de open opdrachten is de uitwerking een </w:t>
      </w:r>
      <w:r>
        <w:rPr>
          <w:rFonts w:ascii="DM Sans" w:cs="DM Sans" w:eastAsia="DM Sans" w:hAnsi="DM Sans"/>
          <w:i/>
          <w:iCs/>
          <w:color w:val="14213D"/>
          <w:sz w:val="22"/>
          <w:szCs w:val="22"/>
        </w:rPr>
        <w:t xml:space="preserve">modelantwoord</w:t>
      </w:r>
      <w:r>
        <w:rPr>
          <w:rFonts w:ascii="DM Sans" w:cs="DM Sans" w:eastAsia="DM Sans" w:hAnsi="DM Sans"/>
          <w:color w:val="14213D"/>
          <w:sz w:val="22"/>
          <w:szCs w:val="22"/>
        </w:rPr>
        <w:t xml:space="preserve">, geen enige juiste antwoord — beoordeel je eigen werk op de genoemde beoordelingspunten, niet op woordelijke gelijkenis.</w:t>
      </w:r>
    </w:p>
    <w:p>
      <w:pPr>
        <w:spacing w:after="160"/>
      </w:pPr>
      <w:r>
        <w:rPr>
          <w:rFonts w:ascii="DM Sans" w:cs="DM Sans" w:eastAsia="DM Sans" w:hAnsi="DM Sans"/>
          <w:color w:val="14213D"/>
          <w:sz w:val="22"/>
          <w:szCs w:val="22"/>
        </w:rPr>
        <w:t xml:space="preserve">Tijdsindicatie voor het hele werkboek: ongeveer 100 minuten, exclusief de plenaire bespreking.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1.1 — Diagnose van de schil (15 min, individueel)</w:t>
      </w:r>
    </w:p>
    <w:p>
      <w:pPr>
        <w:spacing w:after="160"/>
      </w:pPr>
      <w:r>
        <w:rPr>
          <w:rFonts w:ascii="DM Sans" w:cs="DM Sans" w:eastAsia="DM Sans" w:hAnsi="DM Sans"/>
          <w:color w:val="14213D"/>
          <w:sz w:val="22"/>
          <w:szCs w:val="22"/>
        </w:rPr>
        <w:t xml:space="preserve">Hieronder vijf gebeurtenissen uit het eerste kwartaal bij Meridiaan. Benoem per gebeurtenis welk van de zes problemen uit paragraaf 3 van de reader zich voordoet, en welk DBMS-mechanisme het zou hebben voorkomen.</w:t>
      </w:r>
    </w:p>
    <w:p>
      <w:pPr>
        <w:spacing w:after="160"/>
      </w:pPr>
      <w:r>
        <w:rPr>
          <w:rFonts w:ascii="DM Sans" w:cs="DM Sans" w:eastAsia="DM Sans" w:hAnsi="DM Sans"/>
          <w:color w:val="14213D"/>
          <w:sz w:val="22"/>
          <w:szCs w:val="22"/>
        </w:rPr>
        <w:t xml:space="preserve">a) Een medewerker Werkgeversbeheer wijzigt een correspondentieadres in het Access-bestand. De klantenservice ziet drie weken later nog het oude adres in haar eigen overzicht.</w:t>
      </w:r>
    </w:p>
    <w:p>
      <w:pPr>
        <w:spacing w:after="160"/>
      </w:pPr>
      <w:r>
        <w:rPr>
          <w:rFonts w:ascii="DM Sans" w:cs="DM Sans" w:eastAsia="DM Sans" w:hAnsi="DM Sans"/>
          <w:color w:val="14213D"/>
          <w:sz w:val="22"/>
          <w:szCs w:val="22"/>
        </w:rPr>
        <w:t xml:space="preserve">b) Twee collega's werken 's middags in hetzelfde Excel-bestand met premiemutaties. Om 17:10 blijkt het werk van de een verdwenen.</w:t>
      </w:r>
    </w:p>
    <w:p>
      <w:pPr>
        <w:spacing w:after="160"/>
      </w:pPr>
      <w:r>
        <w:rPr>
          <w:rFonts w:ascii="DM Sans" w:cs="DM Sans" w:eastAsia="DM Sans" w:hAnsi="DM Sans"/>
          <w:color w:val="14213D"/>
          <w:sz w:val="22"/>
          <w:szCs w:val="22"/>
        </w:rPr>
        <w:t xml:space="preserve">c) In de SharePoint-lijst staat een mutatie op werkgeversnummer 8842. Dat nummer bestaat niet.</w:t>
      </w:r>
    </w:p>
    <w:p>
      <w:pPr>
        <w:spacing w:after="160"/>
      </w:pPr>
      <w:r>
        <w:rPr>
          <w:rFonts w:ascii="DM Sans" w:cs="DM Sans" w:eastAsia="DM Sans" w:hAnsi="DM Sans"/>
          <w:color w:val="14213D"/>
          <w:sz w:val="22"/>
          <w:szCs w:val="22"/>
        </w:rPr>
        <w:t xml:space="preserve">d) Tijdens het opslaan van een groot bestand valt de netwerkverbinding weg. Het bestand is daarna niet meer te openen.</w:t>
      </w:r>
    </w:p>
    <w:p>
      <w:pPr>
        <w:spacing w:after="160"/>
      </w:pPr>
      <w:r>
        <w:rPr>
          <w:rFonts w:ascii="DM Sans" w:cs="DM Sans" w:eastAsia="DM Sans" w:hAnsi="DM Sans"/>
          <w:color w:val="14213D"/>
          <w:sz w:val="22"/>
          <w:szCs w:val="22"/>
        </w:rPr>
        <w:t xml:space="preserve">e) Een stagiair krijgt toegang tot de map met werkgeverdata om een analyse te maken en ziet daarbij ook de bestanden met deelnemergegevens inclusief burgerservicenummers.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1.2 — Categorie bij werklast (15 min, in tweetallen)</w:t>
      </w:r>
    </w:p>
    <w:p>
      <w:pPr>
        <w:spacing w:after="160"/>
      </w:pPr>
      <w:r>
        <w:rPr>
          <w:rFonts w:ascii="DM Sans" w:cs="DM Sans" w:eastAsia="DM Sans" w:hAnsi="DM Sans"/>
          <w:color w:val="14213D"/>
          <w:sz w:val="22"/>
          <w:szCs w:val="22"/>
        </w:rPr>
        <w:t xml:space="preserve">Kies per situatie de meest passende categorie datastore uit paragraaf 5 van de reader, en motiveer in één zin.</w:t>
      </w:r>
    </w:p>
    <w:p>
      <w:pPr>
        <w:spacing w:after="160"/>
      </w:pPr>
      <w:r>
        <w:rPr>
          <w:rFonts w:ascii="DM Sans" w:cs="DM Sans" w:eastAsia="DM Sans" w:hAnsi="DM Sans"/>
          <w:color w:val="14213D"/>
          <w:sz w:val="22"/>
          <w:szCs w:val="22"/>
        </w:rPr>
        <w:t xml:space="preserve">a) Meridiaan wil elke paginaklik op het deelnemersportaal vastleggen voor gebruiksanalyse: circa 12 miljoen gebeurtenissen per maand, nooit gewijzigd na vastlegging.</w:t>
      </w:r>
    </w:p>
    <w:p>
      <w:pPr>
        <w:spacing w:after="160"/>
      </w:pPr>
      <w:r>
        <w:rPr>
          <w:rFonts w:ascii="DM Sans" w:cs="DM Sans" w:eastAsia="DM Sans" w:hAnsi="DM Sans"/>
          <w:color w:val="14213D"/>
          <w:sz w:val="22"/>
          <w:szCs w:val="22"/>
        </w:rPr>
        <w:t xml:space="preserve">b) De sessies van ingelogde deelnemers moeten binnen milliseconden opgevraagd worden en vervallen na 20 minuten.</w:t>
      </w:r>
    </w:p>
    <w:p>
      <w:pPr>
        <w:spacing w:after="160"/>
      </w:pPr>
      <w:r>
        <w:rPr>
          <w:rFonts w:ascii="DM Sans" w:cs="DM Sans" w:eastAsia="DM Sans" w:hAnsi="DM Sans"/>
          <w:color w:val="14213D"/>
          <w:sz w:val="22"/>
          <w:szCs w:val="22"/>
        </w:rPr>
        <w:t xml:space="preserve">c) De aanspraken, deelnemers en werkgevers van de kernadministratie.</w:t>
      </w:r>
    </w:p>
    <w:p>
      <w:pPr>
        <w:spacing w:after="160"/>
      </w:pPr>
      <w:r>
        <w:rPr>
          <w:rFonts w:ascii="DM Sans" w:cs="DM Sans" w:eastAsia="DM Sans" w:hAnsi="DM Sans"/>
          <w:color w:val="14213D"/>
          <w:sz w:val="22"/>
          <w:szCs w:val="22"/>
        </w:rPr>
        <w:t xml:space="preserve">d) Een onderzoek naar mogelijke fraude waarbij gekeken wordt naar netwerken van gemeenschappelijke bestuurders tussen aangesloten werkgevers.</w:t>
      </w:r>
    </w:p>
    <w:p>
      <w:pPr>
        <w:spacing w:after="160"/>
      </w:pPr>
      <w:r>
        <w:rPr>
          <w:rFonts w:ascii="DM Sans" w:cs="DM Sans" w:eastAsia="DM Sans" w:hAnsi="DM Sans"/>
          <w:color w:val="14213D"/>
          <w:sz w:val="22"/>
          <w:szCs w:val="22"/>
        </w:rPr>
        <w:t xml:space="preserve">e) Het jaarlijkse actuariële rapport dat over de volledige historie van alle 340.000 deelnemers rekent, over vijf kolommen.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1.3 — ACID of BASE (10 min, individueel)</w:t>
      </w:r>
    </w:p>
    <w:p>
      <w:pPr>
        <w:spacing w:after="160"/>
      </w:pPr>
      <w:r>
        <w:rPr>
          <w:rFonts w:ascii="DM Sans" w:cs="DM Sans" w:eastAsia="DM Sans" w:hAnsi="DM Sans"/>
          <w:color w:val="14213D"/>
          <w:sz w:val="22"/>
          <w:szCs w:val="22"/>
        </w:rPr>
        <w:t xml:space="preserve">Voor elk van de volgende gegevenssoorten bij Meridiaan: is eventual consistency acceptabel? Beantwoord met de vraag uit de reader — </w:t>
      </w:r>
      <w:r>
        <w:rPr>
          <w:rFonts w:ascii="DM Sans" w:cs="DM Sans" w:eastAsia="DM Sans" w:hAnsi="DM Sans"/>
          <w:i/>
          <w:iCs/>
          <w:color w:val="14213D"/>
          <w:sz w:val="22"/>
          <w:szCs w:val="22"/>
        </w:rPr>
        <w:t xml:space="preserve">hoe lang mag dit onjuist zijn, en wie draagt de schade?</w:t>
      </w:r>
    </w:p>
    <w:p>
      <w:pPr>
        <w:spacing w:after="160"/>
      </w:pPr>
      <w:r>
        <w:rPr>
          <w:rFonts w:ascii="DM Sans" w:cs="DM Sans" w:eastAsia="DM Sans" w:hAnsi="DM Sans"/>
          <w:color w:val="14213D"/>
          <w:sz w:val="22"/>
          <w:szCs w:val="22"/>
        </w:rPr>
        <w:t xml:space="preserve">a) Het opgebouwde pensioenkapitaal van een deelnemer.</w:t>
      </w:r>
    </w:p>
    <w:p>
      <w:pPr>
        <w:spacing w:after="160"/>
      </w:pPr>
      <w:r>
        <w:rPr>
          <w:rFonts w:ascii="DM Sans" w:cs="DM Sans" w:eastAsia="DM Sans" w:hAnsi="DM Sans"/>
          <w:color w:val="14213D"/>
          <w:sz w:val="22"/>
          <w:szCs w:val="22"/>
        </w:rPr>
        <w:t xml:space="preserve">b) De teller "aantal keer ingelogd deze maand" op het dashboard van de klantenservice.</w:t>
      </w:r>
    </w:p>
    <w:p>
      <w:pPr>
        <w:spacing w:after="160"/>
      </w:pPr>
      <w:r>
        <w:rPr>
          <w:rFonts w:ascii="DM Sans" w:cs="DM Sans" w:eastAsia="DM Sans" w:hAnsi="DM Sans"/>
          <w:color w:val="14213D"/>
          <w:sz w:val="22"/>
          <w:szCs w:val="22"/>
        </w:rPr>
        <w:t xml:space="preserve">c) De verzendstatus van een UPO (Uniform Pensioenoverzicht).</w:t>
      </w:r>
    </w:p>
    <w:p>
      <w:pPr>
        <w:spacing w:after="160"/>
      </w:pPr>
      <w:r>
        <w:rPr>
          <w:rFonts w:ascii="DM Sans" w:cs="DM Sans" w:eastAsia="DM Sans" w:hAnsi="DM Sans"/>
          <w:color w:val="14213D"/>
          <w:sz w:val="22"/>
          <w:szCs w:val="22"/>
        </w:rPr>
        <w:t xml:space="preserve">d) Een waardeoverdracht tussen Meridiaan en een ander fonds.</w:t>
      </w:r>
    </w:p>
    <w:p>
      <w:pPr>
        <w:spacing w:after="160"/>
      </w:pPr>
      <w:r>
        <w:rPr>
          <w:rFonts w:ascii="DM Sans" w:cs="DM Sans" w:eastAsia="DM Sans" w:hAnsi="DM Sans"/>
          <w:color w:val="14213D"/>
          <w:sz w:val="22"/>
          <w:szCs w:val="22"/>
        </w:rPr>
        <w:t xml:space="preserve">e) De zoekfunctie op de publieke website.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1.4 — Het tegengeluid (20 min, in tweetallen)</w:t>
      </w:r>
    </w:p>
    <w:p>
      <w:pPr>
        <w:spacing w:after="160"/>
      </w:pPr>
      <w:r>
        <w:rPr>
          <w:rFonts w:ascii="DM Sans" w:cs="DM Sans" w:eastAsia="DM Sans" w:hAnsi="DM Sans"/>
          <w:color w:val="14213D"/>
          <w:sz w:val="22"/>
          <w:szCs w:val="22"/>
        </w:rPr>
        <w:t xml:space="preserve">Tarik, de enterprise-architect, is voorstander van PostgreSQL. Ruud, het beheerhoofd, is sceptisch en zegt letterlijk: </w:t>
      </w:r>
      <w:r>
        <w:rPr>
          <w:rFonts w:ascii="DM Sans" w:cs="DM Sans" w:eastAsia="DM Sans" w:hAnsi="DM Sans"/>
          <w:i/>
          <w:iCs/>
          <w:color w:val="14213D"/>
          <w:sz w:val="22"/>
          <w:szCs w:val="22"/>
        </w:rPr>
        <w:t xml:space="preserve">"Als het om drie uur 's nachts omvalt, wie bel ik dan? Bij onze SQL Server-omgeving weet ik dat."</w:t>
      </w:r>
    </w:p>
    <w:p>
      <w:pPr>
        <w:spacing w:after="160"/>
      </w:pPr>
      <w:r>
        <w:rPr>
          <w:rFonts w:ascii="DM Sans" w:cs="DM Sans" w:eastAsia="DM Sans" w:hAnsi="DM Sans"/>
          <w:color w:val="14213D"/>
          <w:sz w:val="22"/>
          <w:szCs w:val="22"/>
        </w:rPr>
        <w:t xml:space="preserve">Schrijf een antwoord van maximaal 150 woorden dat:</w:t>
      </w:r>
    </w:p>
    <w:p>
      <w:pPr>
        <w:pStyle w:val="ListParagraph"/>
        <w:numPr>
          <w:ilvl w:val="0"/>
          <w:numId w:val="2"/>
        </w:numPr>
      </w:pPr>
      <w:r>
        <w:rPr>
          <w:rFonts w:ascii="DM Sans" w:cs="DM Sans" w:eastAsia="DM Sans" w:hAnsi="DM Sans"/>
          <w:color w:val="14213D"/>
          <w:sz w:val="22"/>
          <w:szCs w:val="22"/>
        </w:rPr>
        <w:t xml:space="preserve">de zorg erkent zonder hem weg te wuiven;</w:t>
      </w:r>
    </w:p>
    <w:p>
      <w:pPr>
        <w:pStyle w:val="ListParagraph"/>
        <w:numPr>
          <w:ilvl w:val="0"/>
          <w:numId w:val="2"/>
        </w:numPr>
      </w:pPr>
      <w:r>
        <w:rPr>
          <w:rFonts w:ascii="DM Sans" w:cs="DM Sans" w:eastAsia="DM Sans" w:hAnsi="DM Sans"/>
          <w:color w:val="14213D"/>
          <w:sz w:val="22"/>
          <w:szCs w:val="22"/>
        </w:rPr>
        <w:t xml:space="preserve">feitelijk uitlegt hoe support bij PostgreSQL geregeld wordt;</w:t>
      </w:r>
    </w:p>
    <w:p>
      <w:pPr>
        <w:pStyle w:val="ListParagraph"/>
        <w:numPr>
          <w:ilvl w:val="0"/>
          <w:numId w:val="2"/>
        </w:numPr>
      </w:pPr>
      <w:r>
        <w:rPr>
          <w:rFonts w:ascii="DM Sans" w:cs="DM Sans" w:eastAsia="DM Sans" w:hAnsi="DM Sans"/>
          <w:color w:val="14213D"/>
          <w:sz w:val="22"/>
          <w:szCs w:val="22"/>
        </w:rPr>
        <w:t xml:space="preserve">de vergelijking terugbrengt tot een kostenafweging;</w:t>
      </w:r>
    </w:p>
    <w:p>
      <w:pPr>
        <w:pStyle w:val="ListParagraph"/>
        <w:numPr>
          <w:ilvl w:val="0"/>
          <w:numId w:val="2"/>
        </w:numPr>
      </w:pPr>
      <w:r>
        <w:rPr>
          <w:rFonts w:ascii="DM Sans" w:cs="DM Sans" w:eastAsia="DM Sans" w:hAnsi="DM Sans"/>
          <w:color w:val="14213D"/>
          <w:sz w:val="22"/>
          <w:szCs w:val="22"/>
        </w:rPr>
        <w:t xml:space="preserve">minstens één concreet ding noemt dat Meridiaan moet regelen vóór livegang.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1.5 — Upgradekalender (10 min, individueel)</w:t>
      </w:r>
    </w:p>
    <w:p>
      <w:pPr>
        <w:spacing w:after="160"/>
      </w:pPr>
      <w:r>
        <w:rPr>
          <w:rFonts w:ascii="DM Sans" w:cs="DM Sans" w:eastAsia="DM Sans" w:hAnsi="DM Sans"/>
          <w:color w:val="14213D"/>
          <w:sz w:val="22"/>
          <w:szCs w:val="22"/>
        </w:rPr>
        <w:t xml:space="preserve">Meridiaan gaat in het lopende jaar live op de op dat moment nieuwste hoofdversie van PostgreSQL.</w:t>
      </w:r>
    </w:p>
    <w:p>
      <w:pPr>
        <w:spacing w:after="160"/>
      </w:pPr>
      <w:r>
        <w:rPr>
          <w:rFonts w:ascii="DM Sans" w:cs="DM Sans" w:eastAsia="DM Sans" w:hAnsi="DM Sans"/>
          <w:color w:val="14213D"/>
          <w:sz w:val="22"/>
          <w:szCs w:val="22"/>
        </w:rPr>
        <w:t xml:space="preserve">a) Wanneer moet de organisatie uiterlijk op een nieuwere hoofdversie staan, gegeven het ondersteuningsvenster uit de reader?</w:t>
      </w:r>
    </w:p>
    <w:p>
      <w:pPr>
        <w:spacing w:after="160"/>
      </w:pPr>
      <w:r>
        <w:rPr>
          <w:rFonts w:ascii="DM Sans" w:cs="DM Sans" w:eastAsia="DM Sans" w:hAnsi="DM Sans"/>
          <w:color w:val="14213D"/>
          <w:sz w:val="22"/>
          <w:szCs w:val="22"/>
        </w:rPr>
        <w:t xml:space="preserve">b) Welke twee soorten updates onderscheidt PostgreSQL, en welke daarvan mag je zonder functionele hertest doorvoeren?</w:t>
      </w:r>
    </w:p>
    <w:p>
      <w:pPr>
        <w:spacing w:after="160"/>
      </w:pPr>
      <w:r>
        <w:rPr>
          <w:rFonts w:ascii="DM Sans" w:cs="DM Sans" w:eastAsia="DM Sans" w:hAnsi="DM Sans"/>
          <w:color w:val="14213D"/>
          <w:sz w:val="22"/>
          <w:szCs w:val="22"/>
        </w:rPr>
        <w:t xml:space="preserve">c) Karin (programmamanager) wil de upgrade "over vijf jaar een keer inplannen". Formuleer in twee zinnen waarom dat de verkeerde aanpak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Opdracht 1.6 — Adviesnota aan de stuurgroep (30 min, in groepjes van drie)</w:t>
      </w:r>
    </w:p>
    <w:p>
      <w:pPr>
        <w:spacing w:after="160"/>
      </w:pPr>
      <w:r>
        <w:rPr>
          <w:rFonts w:ascii="DM Sans" w:cs="DM Sans" w:eastAsia="DM Sans" w:hAnsi="DM Sans"/>
          <w:color w:val="14213D"/>
          <w:sz w:val="22"/>
          <w:szCs w:val="22"/>
        </w:rPr>
        <w:t xml:space="preserve">Dit is de hoofdopdracht van dit deel.</w:t>
      </w:r>
    </w:p>
    <w:p>
      <w:pPr>
        <w:spacing w:after="160"/>
      </w:pPr>
      <w:r>
        <w:rPr>
          <w:rFonts w:ascii="DM Sans" w:cs="DM Sans" w:eastAsia="DM Sans" w:hAnsi="DM Sans"/>
          <w:color w:val="14213D"/>
          <w:sz w:val="22"/>
          <w:szCs w:val="22"/>
        </w:rPr>
        <w:t xml:space="preserve">Stel een adviesnota op van maximaal één A4 waarin je de stuurgroep van Programma Open Pensioen adviseert over het databaseplatform voor de nieuwe datalaag.</w:t>
      </w:r>
    </w:p>
    <w:p>
      <w:pPr>
        <w:spacing w:after="160"/>
      </w:pPr>
      <w:r>
        <w:rPr>
          <w:rFonts w:ascii="DM Sans" w:cs="DM Sans" w:eastAsia="DM Sans" w:hAnsi="DM Sans"/>
          <w:color w:val="14213D"/>
          <w:sz w:val="22"/>
          <w:szCs w:val="22"/>
        </w:rPr>
        <w:t xml:space="preserve">Verplichte structuur (uit paragraaf 10 van de reader):</w:t>
      </w:r>
    </w:p>
    <w:p>
      <w:pPr>
        <w:pStyle w:val="ListParagraph"/>
        <w:numPr>
          <w:ilvl w:val="0"/>
          <w:numId w:val="3"/>
        </w:numPr>
      </w:pPr>
      <w:r>
        <w:rPr>
          <w:rFonts w:ascii="DM Sans" w:cs="DM Sans" w:eastAsia="DM Sans" w:hAnsi="DM Sans"/>
          <w:b/>
          <w:bCs/>
          <w:color w:val="14213D"/>
          <w:sz w:val="22"/>
          <w:szCs w:val="22"/>
        </w:rPr>
        <w:t xml:space="preserve">Eisen</w:t>
      </w:r>
      <w:r>
        <w:rPr>
          <w:rFonts w:ascii="DM Sans" w:cs="DM Sans" w:eastAsia="DM Sans" w:hAnsi="DM Sans"/>
          <w:color w:val="14213D"/>
          <w:sz w:val="22"/>
          <w:szCs w:val="22"/>
        </w:rPr>
        <w:t xml:space="preserve"> — minimaal vijf, afgeleid uit de casus.</w:t>
      </w:r>
    </w:p>
    <w:p>
      <w:pPr>
        <w:pStyle w:val="ListParagraph"/>
        <w:numPr>
          <w:ilvl w:val="0"/>
          <w:numId w:val="3"/>
        </w:numPr>
      </w:pPr>
      <w:r>
        <w:rPr>
          <w:rFonts w:ascii="DM Sans" w:cs="DM Sans" w:eastAsia="DM Sans" w:hAnsi="DM Sans"/>
          <w:b/>
          <w:bCs/>
          <w:color w:val="14213D"/>
          <w:sz w:val="22"/>
          <w:szCs w:val="22"/>
        </w:rPr>
        <w:t xml:space="preserve">Wegingsfactor</w:t>
      </w:r>
      <w:r>
        <w:rPr>
          <w:rFonts w:ascii="DM Sans" w:cs="DM Sans" w:eastAsia="DM Sans" w:hAnsi="DM Sans"/>
          <w:color w:val="14213D"/>
          <w:sz w:val="22"/>
          <w:szCs w:val="22"/>
        </w:rPr>
        <w:t xml:space="preserve"> per eis (hoog/middel/laag), met één zin motivering.</w:t>
      </w:r>
    </w:p>
    <w:p>
      <w:pPr>
        <w:pStyle w:val="ListParagraph"/>
        <w:numPr>
          <w:ilvl w:val="0"/>
          <w:numId w:val="3"/>
        </w:numPr>
      </w:pPr>
      <w:r>
        <w:rPr>
          <w:rFonts w:ascii="DM Sans" w:cs="DM Sans" w:eastAsia="DM Sans" w:hAnsi="DM Sans"/>
          <w:b/>
          <w:bCs/>
          <w:color w:val="14213D"/>
          <w:sz w:val="22"/>
          <w:szCs w:val="22"/>
        </w:rPr>
        <w:t xml:space="preserve">Score</w:t>
      </w:r>
      <w:r>
        <w:rPr>
          <w:rFonts w:ascii="DM Sans" w:cs="DM Sans" w:eastAsia="DM Sans" w:hAnsi="DM Sans"/>
          <w:color w:val="14213D"/>
          <w:sz w:val="22"/>
          <w:szCs w:val="22"/>
        </w:rPr>
        <w:t xml:space="preserve"> per eis voor minimaal twee platformen.</w:t>
      </w:r>
    </w:p>
    <w:p>
      <w:pPr>
        <w:pStyle w:val="ListParagraph"/>
        <w:numPr>
          <w:ilvl w:val="0"/>
          <w:numId w:val="3"/>
        </w:numPr>
      </w:pPr>
      <w:r>
        <w:rPr>
          <w:rFonts w:ascii="DM Sans" w:cs="DM Sans" w:eastAsia="DM Sans" w:hAnsi="DM Sans"/>
          <w:b/>
          <w:bCs/>
          <w:color w:val="14213D"/>
          <w:sz w:val="22"/>
          <w:szCs w:val="22"/>
        </w:rPr>
        <w:t xml:space="preserve">Conclusie</w:t>
      </w:r>
      <w:r>
        <w:rPr>
          <w:rFonts w:ascii="DM Sans" w:cs="DM Sans" w:eastAsia="DM Sans" w:hAnsi="DM Sans"/>
          <w:color w:val="14213D"/>
          <w:sz w:val="22"/>
          <w:szCs w:val="22"/>
        </w:rPr>
        <w:t xml:space="preserve"> — één aanbeveling, ondubbelzinnig.</w:t>
      </w:r>
    </w:p>
    <w:p>
      <w:pPr>
        <w:pStyle w:val="ListParagraph"/>
        <w:numPr>
          <w:ilvl w:val="0"/>
          <w:numId w:val="3"/>
        </w:numPr>
      </w:pPr>
      <w:r>
        <w:rPr>
          <w:rFonts w:ascii="DM Sans" w:cs="DM Sans" w:eastAsia="DM Sans" w:hAnsi="DM Sans"/>
          <w:b/>
          <w:bCs/>
          <w:color w:val="14213D"/>
          <w:sz w:val="22"/>
          <w:szCs w:val="22"/>
        </w:rPr>
        <w:t xml:space="preserve">Risico's van de aanbevolen optie</w:t>
      </w:r>
      <w:r>
        <w:rPr>
          <w:rFonts w:ascii="DM Sans" w:cs="DM Sans" w:eastAsia="DM Sans" w:hAnsi="DM Sans"/>
          <w:color w:val="14213D"/>
          <w:sz w:val="22"/>
          <w:szCs w:val="22"/>
        </w:rPr>
        <w:t xml:space="preserve"> — minimaal drie, elk met een beheersmaatregel.</w:t>
      </w:r>
    </w:p>
    <w:p>
      <w:pPr>
        <w:spacing w:after="160"/>
      </w:pPr>
      <w:r>
        <w:rPr>
          <w:rFonts w:ascii="DM Sans" w:cs="DM Sans" w:eastAsia="DM Sans" w:hAnsi="DM Sans"/>
          <w:color w:val="14213D"/>
          <w:sz w:val="22"/>
          <w:szCs w:val="22"/>
        </w:rPr>
        <w:t xml:space="preserve">Beoordelingspunten:</w:t>
      </w:r>
    </w:p>
    <w:p>
      <w:pPr>
        <w:pStyle w:val="ListParagraph"/>
        <w:numPr>
          <w:ilvl w:val="0"/>
          <w:numId w:val="2"/>
        </w:numPr>
      </w:pPr>
      <w:r>
        <w:rPr>
          <w:rFonts w:ascii="DM Sans" w:cs="DM Sans" w:eastAsia="DM Sans" w:hAnsi="DM Sans"/>
          <w:color w:val="14213D"/>
          <w:sz w:val="22"/>
          <w:szCs w:val="22"/>
        </w:rPr>
        <w:t xml:space="preserve">Zijn de eisen afgeleid uit de casus, of generiek overgeschreven?</w:t>
      </w:r>
    </w:p>
    <w:p>
      <w:pPr>
        <w:pStyle w:val="ListParagraph"/>
        <w:numPr>
          <w:ilvl w:val="0"/>
          <w:numId w:val="2"/>
        </w:numPr>
      </w:pPr>
      <w:r>
        <w:rPr>
          <w:rFonts w:ascii="DM Sans" w:cs="DM Sans" w:eastAsia="DM Sans" w:hAnsi="DM Sans"/>
          <w:color w:val="14213D"/>
          <w:sz w:val="22"/>
          <w:szCs w:val="22"/>
        </w:rPr>
        <w:t xml:space="preserve">Is elk van de drie stemmen (Karin, Tarik, Ruud) herkenbaar geadresseerd?</w:t>
      </w:r>
    </w:p>
    <w:p>
      <w:pPr>
        <w:pStyle w:val="ListParagraph"/>
        <w:numPr>
          <w:ilvl w:val="0"/>
          <w:numId w:val="2"/>
        </w:numPr>
      </w:pPr>
      <w:r>
        <w:rPr>
          <w:rFonts w:ascii="DM Sans" w:cs="DM Sans" w:eastAsia="DM Sans" w:hAnsi="DM Sans"/>
          <w:color w:val="14213D"/>
          <w:sz w:val="22"/>
          <w:szCs w:val="22"/>
        </w:rPr>
        <w:t xml:space="preserve">Staan er risico's bij de </w:t>
      </w:r>
      <w:r>
        <w:rPr>
          <w:rFonts w:ascii="DM Sans" w:cs="DM Sans" w:eastAsia="DM Sans" w:hAnsi="DM Sans"/>
          <w:i/>
          <w:iCs/>
          <w:color w:val="14213D"/>
          <w:sz w:val="22"/>
          <w:szCs w:val="22"/>
        </w:rPr>
        <w:t xml:space="preserve">aanbevolen</w:t>
      </w:r>
      <w:r>
        <w:rPr>
          <w:rFonts w:ascii="DM Sans" w:cs="DM Sans" w:eastAsia="DM Sans" w:hAnsi="DM Sans"/>
          <w:color w:val="14213D"/>
          <w:sz w:val="22"/>
          <w:szCs w:val="22"/>
        </w:rPr>
        <w:t xml:space="preserve"> optie, of alleen bij de afgewezen optie?</w:t>
      </w:r>
    </w:p>
    <w:p>
      <w:pPr>
        <w:pStyle w:val="ListParagraph"/>
        <w:numPr>
          <w:ilvl w:val="0"/>
          <w:numId w:val="2"/>
        </w:numPr>
      </w:pPr>
      <w:r>
        <w:rPr>
          <w:rFonts w:ascii="DM Sans" w:cs="DM Sans" w:eastAsia="DM Sans" w:hAnsi="DM Sans"/>
          <w:color w:val="14213D"/>
          <w:sz w:val="22"/>
          <w:szCs w:val="22"/>
        </w:rPr>
        <w:t xml:space="preserve">Is de conclusie een keuze, of een verkapt "het hangt ervan af"?</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Uitwerkingen</w:t>
      </w:r>
    </w:p>
    <w:p>
      <w:pPr>
        <w:pStyle w:val="Heading2"/>
      </w:pPr>
      <w:r>
        <w:rPr>
          <w:rFonts w:ascii="DM Sans" w:cs="DM Sans" w:eastAsia="DM Sans" w:hAnsi="DM Sans"/>
          <w:color w:val="14213D"/>
          <w:sz w:val="22"/>
          <w:szCs w:val="22"/>
        </w:rPr>
        <w:t xml:space="preserve">Uitwerking 1.1</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Inconsistentie</w:t>
      </w:r>
      <w:r>
        <w:rPr>
          <w:rFonts w:ascii="DM Sans" w:cs="DM Sans" w:eastAsia="DM Sans" w:hAnsi="DM Sans"/>
          <w:color w:val="14213D"/>
          <w:sz w:val="22"/>
          <w:szCs w:val="22"/>
        </w:rPr>
        <w:t xml:space="preserve"> (voortkomend uit redundantie). Meerdere kopieën van hetzelfde gegeven, waarvan er één is bijgewerkt.</w:t>
      </w:r>
    </w:p>
    <w:p>
      <w:pPr>
        <w:spacing w:after="160"/>
      </w:pPr>
      <w:r>
        <w:rPr>
          <w:rFonts w:ascii="DM Sans" w:cs="DM Sans" w:eastAsia="DM Sans" w:hAnsi="DM Sans"/>
          <w:i/>
          <w:iCs/>
          <w:color w:val="14213D"/>
          <w:sz w:val="22"/>
          <w:szCs w:val="22"/>
        </w:rPr>
        <w:t xml:space="preserve">Mechanisme:</w:t>
      </w:r>
      <w:r>
        <w:rPr>
          <w:rFonts w:ascii="DM Sans" w:cs="DM Sans" w:eastAsia="DM Sans" w:hAnsi="DM Sans"/>
          <w:color w:val="14213D"/>
          <w:sz w:val="22"/>
          <w:szCs w:val="22"/>
        </w:rPr>
        <w:t xml:space="preserve"> één bron van waarheid in een tabel, waarbij alle afnemers dezelfde rij lezen. Redundantie wordt aangepakt door normalisatie (deel 5).</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Gebrek aan gelijktijdigheidsbeheer</w:t>
      </w:r>
      <w:r>
        <w:rPr>
          <w:rFonts w:ascii="DM Sans" w:cs="DM Sans" w:eastAsia="DM Sans" w:hAnsi="DM Sans"/>
          <w:color w:val="14213D"/>
          <w:sz w:val="22"/>
          <w:szCs w:val="22"/>
        </w:rPr>
        <w:t xml:space="preserve"> — de klassieke "lost update".</w:t>
      </w:r>
    </w:p>
    <w:p>
      <w:pPr>
        <w:spacing w:after="160"/>
      </w:pPr>
      <w:r>
        <w:rPr>
          <w:rFonts w:ascii="DM Sans" w:cs="DM Sans" w:eastAsia="DM Sans" w:hAnsi="DM Sans"/>
          <w:i/>
          <w:iCs/>
          <w:color w:val="14213D"/>
          <w:sz w:val="22"/>
          <w:szCs w:val="22"/>
        </w:rPr>
        <w:t xml:space="preserve">Mechanisme:</w:t>
      </w:r>
      <w:r>
        <w:rPr>
          <w:rFonts w:ascii="DM Sans" w:cs="DM Sans" w:eastAsia="DM Sans" w:hAnsi="DM Sans"/>
          <w:color w:val="14213D"/>
          <w:sz w:val="22"/>
          <w:szCs w:val="22"/>
        </w:rPr>
        <w:t xml:space="preserve"> transacties en locking. PostgreSQL lost dit op met MVCC (deel 7, verdiept in niveau 2 deel 15).</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Geen integriteitsbewaking</w:t>
      </w:r>
      <w:r>
        <w:rPr>
          <w:rFonts w:ascii="DM Sans" w:cs="DM Sans" w:eastAsia="DM Sans" w:hAnsi="DM Sans"/>
          <w:color w:val="14213D"/>
          <w:sz w:val="22"/>
          <w:szCs w:val="22"/>
        </w:rPr>
        <w:t xml:space="preserve">, specifiek referentiële integriteit.</w:t>
      </w:r>
    </w:p>
    <w:p>
      <w:pPr>
        <w:spacing w:after="160"/>
      </w:pPr>
      <w:r>
        <w:rPr>
          <w:rFonts w:ascii="DM Sans" w:cs="DM Sans" w:eastAsia="DM Sans" w:hAnsi="DM Sans"/>
          <w:i/>
          <w:iCs/>
          <w:color w:val="14213D"/>
          <w:sz w:val="22"/>
          <w:szCs w:val="22"/>
        </w:rPr>
        <w:t xml:space="preserve">Mechanisme:</w:t>
      </w:r>
      <w:r>
        <w:rPr>
          <w:rFonts w:ascii="DM Sans" w:cs="DM Sans" w:eastAsia="DM Sans" w:hAnsi="DM Sans"/>
          <w:color w:val="14213D"/>
          <w:sz w:val="22"/>
          <w:szCs w:val="22"/>
        </w:rPr>
        <w:t xml:space="preserve"> een foreign key-constraint die een mutatie zonder bestaande werkgever weigert (deel 6).</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Geen herstelbaarheid</w:t>
      </w:r>
      <w:r>
        <w:rPr>
          <w:rFonts w:ascii="DM Sans" w:cs="DM Sans" w:eastAsia="DM Sans" w:hAnsi="DM Sans"/>
          <w:color w:val="14213D"/>
          <w:sz w:val="22"/>
          <w:szCs w:val="22"/>
        </w:rPr>
        <w:t xml:space="preserve">; de schrijfbewerking was niet atomair.</w:t>
      </w:r>
    </w:p>
    <w:p>
      <w:pPr>
        <w:spacing w:after="160"/>
      </w:pPr>
      <w:r>
        <w:rPr>
          <w:rFonts w:ascii="DM Sans" w:cs="DM Sans" w:eastAsia="DM Sans" w:hAnsi="DM Sans"/>
          <w:i/>
          <w:iCs/>
          <w:color w:val="14213D"/>
          <w:sz w:val="22"/>
          <w:szCs w:val="22"/>
        </w:rPr>
        <w:t xml:space="preserve">Mechanisme:</w:t>
      </w:r>
      <w:r>
        <w:rPr>
          <w:rFonts w:ascii="DM Sans" w:cs="DM Sans" w:eastAsia="DM Sans" w:hAnsi="DM Sans"/>
          <w:color w:val="14213D"/>
          <w:sz w:val="22"/>
          <w:szCs w:val="22"/>
        </w:rPr>
        <w:t xml:space="preserve"> write-ahead logging en crash recovery — de transactie is óf volledig doorgevoerd, óf volledig teruggedraaid (deel 7).</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Geen toegangsbeheer op gegevensniveau.</w:t>
      </w:r>
    </w:p>
    <w:p>
      <w:pPr>
        <w:spacing w:after="160"/>
      </w:pPr>
      <w:r>
        <w:rPr>
          <w:rFonts w:ascii="DM Sans" w:cs="DM Sans" w:eastAsia="DM Sans" w:hAnsi="DM Sans"/>
          <w:i/>
          <w:iCs/>
          <w:color w:val="14213D"/>
          <w:sz w:val="22"/>
          <w:szCs w:val="22"/>
        </w:rPr>
        <w:t xml:space="preserve">Mechanisme:</w:t>
      </w:r>
      <w:r>
        <w:rPr>
          <w:rFonts w:ascii="DM Sans" w:cs="DM Sans" w:eastAsia="DM Sans" w:hAnsi="DM Sans"/>
          <w:color w:val="14213D"/>
          <w:sz w:val="22"/>
          <w:szCs w:val="22"/>
        </w:rPr>
        <w:t xml:space="preserve"> rollen en rechten per tabel of kolom (deel 9), en in niveau 2 row level security (deel 21).</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merk op dat vijf van de zes problemen in één kwartaal optraden bij één organisatie. Dat is geen ongeluk maar het voorspelbare gedrag van bestandsopslag onder productiedruk.</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1.2</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Column-family of time-series store</w:t>
      </w:r>
      <w:r>
        <w:rPr>
          <w:rFonts w:ascii="DM Sans" w:cs="DM Sans" w:eastAsia="DM Sans" w:hAnsi="DM Sans"/>
          <w:color w:val="14213D"/>
          <w:sz w:val="22"/>
          <w:szCs w:val="22"/>
        </w:rPr>
        <w:t xml:space="preserve">, en in de praktijk vaak een analytisch platform. Onveranderlijke gebeurtenissen met tijdstempel, hoog volume, alleen geaggregeerd gelezen. </w:t>
      </w:r>
      <w:r>
        <w:rPr>
          <w:rFonts w:ascii="DM Sans" w:cs="DM Sans" w:eastAsia="DM Sans" w:hAnsi="DM Sans"/>
          <w:i/>
          <w:iCs/>
          <w:color w:val="14213D"/>
          <w:sz w:val="22"/>
          <w:szCs w:val="22"/>
        </w:rPr>
        <w:t xml:space="preserve">Nuance die je mag maken:</w:t>
      </w:r>
      <w:r>
        <w:rPr>
          <w:rFonts w:ascii="DM Sans" w:cs="DM Sans" w:eastAsia="DM Sans" w:hAnsi="DM Sans"/>
          <w:color w:val="14213D"/>
          <w:sz w:val="22"/>
          <w:szCs w:val="22"/>
        </w:rPr>
        <w:t xml:space="preserve"> 12 miljoen per maand is voor PostgreSQL met partitionering (niveau 2, deel 16) prima behapbaar — de categoriekeuze is hier niet dwingend.</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Key-value store</w:t>
      </w:r>
      <w:r>
        <w:rPr>
          <w:rFonts w:ascii="DM Sans" w:cs="DM Sans" w:eastAsia="DM Sans" w:hAnsi="DM Sans"/>
          <w:color w:val="14213D"/>
          <w:sz w:val="22"/>
          <w:szCs w:val="22"/>
        </w:rPr>
        <w:t xml:space="preserve"> (Redis). Extreem lage latentie, natuurlijke vervaltijd, geen behoefte aan transactionele garanties.</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Relationeel.</w:t>
      </w:r>
      <w:r>
        <w:rPr>
          <w:rFonts w:ascii="DM Sans" w:cs="DM Sans" w:eastAsia="DM Sans" w:hAnsi="DM Sans"/>
          <w:color w:val="14213D"/>
          <w:sz w:val="22"/>
          <w:szCs w:val="22"/>
        </w:rPr>
        <w:t xml:space="preserve"> Integriteit, transacties en een stabiel schema zijn hier het hele punt. Dit is de kern van de casus.</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Graph database.</w:t>
      </w:r>
      <w:r>
        <w:rPr>
          <w:rFonts w:ascii="DM Sans" w:cs="DM Sans" w:eastAsia="DM Sans" w:hAnsi="DM Sans"/>
          <w:color w:val="14213D"/>
          <w:sz w:val="22"/>
          <w:szCs w:val="22"/>
        </w:rPr>
        <w:t xml:space="preserve"> De vraag gaat over paden en relaties tussen entiteiten, niet over de entiteiten zelf; in SQL vergt dit recursieve query's die snel onwerkbaar worden.</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Analytisch/kolomgeoriënteerd platform.</w:t>
      </w:r>
      <w:r>
        <w:rPr>
          <w:rFonts w:ascii="DM Sans" w:cs="DM Sans" w:eastAsia="DM Sans" w:hAnsi="DM Sans"/>
          <w:color w:val="14213D"/>
          <w:sz w:val="22"/>
          <w:szCs w:val="22"/>
        </w:rPr>
        <w:t xml:space="preserve"> Weinig kolommen, alle rijen — precies waar kolomopslag ordes van grootte wint.</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bij a) en e) is het verdedigbare antwoord soms "gewoon PostgreSQL, met partitionering". Het beoordelingscriterium is de motivering, niet het label.</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1.3</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Nee, ACID vereist.</w:t>
      </w:r>
      <w:r>
        <w:rPr>
          <w:rFonts w:ascii="DM Sans" w:cs="DM Sans" w:eastAsia="DM Sans" w:hAnsi="DM Sans"/>
          <w:color w:val="14213D"/>
          <w:sz w:val="22"/>
          <w:szCs w:val="22"/>
        </w:rPr>
        <w:t xml:space="preserve"> Een onjuist kapitaal is een onjuiste aanspraak; schade ligt bij de deelnemer en juridisch bij Meridiaan. Toegestane afwijkingsduur: nul.</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Ja, eventual consistency prima.</w:t>
      </w:r>
      <w:r>
        <w:rPr>
          <w:rFonts w:ascii="DM Sans" w:cs="DM Sans" w:eastAsia="DM Sans" w:hAnsi="DM Sans"/>
          <w:color w:val="14213D"/>
          <w:sz w:val="22"/>
          <w:szCs w:val="22"/>
        </w:rPr>
        <w:t xml:space="preserve"> Een teller die enkele minuten achterloopt schaadt niemand; de schade van vertraging is groter dan die van onnauwkeurigheid.</w:t>
      </w:r>
    </w:p>
    <w:p>
      <w:pPr>
        <w:spacing w:after="160"/>
      </w:pPr>
      <w:r>
        <w:rPr>
          <w:rFonts w:ascii="DM Sans" w:cs="DM Sans" w:eastAsia="DM Sans" w:hAnsi="DM Sans"/>
          <w:color w:val="14213D"/>
          <w:sz w:val="22"/>
          <w:szCs w:val="22"/>
        </w:rPr>
        <w:t xml:space="preserve">c) </w:t>
      </w:r>
      <w:r>
        <w:rPr>
          <w:rFonts w:ascii="DM Sans" w:cs="DM Sans" w:eastAsia="DM Sans" w:hAnsi="DM Sans"/>
          <w:b/>
          <w:bCs/>
          <w:color w:val="14213D"/>
          <w:sz w:val="22"/>
          <w:szCs w:val="22"/>
        </w:rPr>
        <w:t xml:space="preserve">Nee, in principe ACID.</w:t>
      </w:r>
      <w:r>
        <w:rPr>
          <w:rFonts w:ascii="DM Sans" w:cs="DM Sans" w:eastAsia="DM Sans" w:hAnsi="DM Sans"/>
          <w:color w:val="14213D"/>
          <w:sz w:val="22"/>
          <w:szCs w:val="22"/>
        </w:rPr>
        <w:t xml:space="preserve"> "Verzonden" terwijl er niets verzonden is, leidt tot klachten en mogelijk tot een aantoonbaarheidsprobleem richting toezichthouder. Nuance: enkele seconden vertraging is acceptabel, uren niet.</w:t>
      </w:r>
    </w:p>
    <w:p>
      <w:pPr>
        <w:spacing w:after="160"/>
      </w:pPr>
      <w:r>
        <w:rPr>
          <w:rFonts w:ascii="DM Sans" w:cs="DM Sans" w:eastAsia="DM Sans" w:hAnsi="DM Sans"/>
          <w:color w:val="14213D"/>
          <w:sz w:val="22"/>
          <w:szCs w:val="22"/>
        </w:rPr>
        <w:t xml:space="preserve">d) </w:t>
      </w:r>
      <w:r>
        <w:rPr>
          <w:rFonts w:ascii="DM Sans" w:cs="DM Sans" w:eastAsia="DM Sans" w:hAnsi="DM Sans"/>
          <w:b/>
          <w:bCs/>
          <w:color w:val="14213D"/>
          <w:sz w:val="22"/>
          <w:szCs w:val="22"/>
        </w:rPr>
        <w:t xml:space="preserve">Absoluut ACID.</w:t>
      </w:r>
      <w:r>
        <w:rPr>
          <w:rFonts w:ascii="DM Sans" w:cs="DM Sans" w:eastAsia="DM Sans" w:hAnsi="DM Sans"/>
          <w:color w:val="14213D"/>
          <w:sz w:val="22"/>
          <w:szCs w:val="22"/>
        </w:rPr>
        <w:t xml:space="preserve"> Dit is het schoolvoorbeeld: geld mag geen moment nergens of tweemaal ergens staan. Bovendien is de tegenpartij een externe organisatie, waardoor herstel na een fout duur en traag is.</w:t>
      </w:r>
    </w:p>
    <w:p>
      <w:pPr>
        <w:spacing w:after="160"/>
      </w:pPr>
      <w:r>
        <w:rPr>
          <w:rFonts w:ascii="DM Sans" w:cs="DM Sans" w:eastAsia="DM Sans" w:hAnsi="DM Sans"/>
          <w:color w:val="14213D"/>
          <w:sz w:val="22"/>
          <w:szCs w:val="22"/>
        </w:rPr>
        <w:t xml:space="preserve">e) </w:t>
      </w:r>
      <w:r>
        <w:rPr>
          <w:rFonts w:ascii="DM Sans" w:cs="DM Sans" w:eastAsia="DM Sans" w:hAnsi="DM Sans"/>
          <w:b/>
          <w:bCs/>
          <w:color w:val="14213D"/>
          <w:sz w:val="22"/>
          <w:szCs w:val="22"/>
        </w:rPr>
        <w:t xml:space="preserve">Ja, eventual consistency prima.</w:t>
      </w:r>
      <w:r>
        <w:rPr>
          <w:rFonts w:ascii="DM Sans" w:cs="DM Sans" w:eastAsia="DM Sans" w:hAnsi="DM Sans"/>
          <w:color w:val="14213D"/>
          <w:sz w:val="22"/>
          <w:szCs w:val="22"/>
        </w:rPr>
        <w:t xml:space="preserve"> Een nieuw artikel dat vijf minuten later vindbaar is, is geen incident.</w:t>
      </w:r>
    </w:p>
    <w:p>
      <w:pPr>
        <w:spacing w:after="160"/>
      </w:pPr>
      <w:r>
        <w:rPr>
          <w:rFonts w:ascii="DM Sans" w:cs="DM Sans" w:eastAsia="DM Sans" w:hAnsi="DM Sans"/>
          <w:b/>
          <w:bCs/>
          <w:color w:val="14213D"/>
          <w:sz w:val="22"/>
          <w:szCs w:val="22"/>
        </w:rPr>
        <w:t xml:space="preserve">Bespreekpunt:</w:t>
      </w:r>
      <w:r>
        <w:rPr>
          <w:rFonts w:ascii="DM Sans" w:cs="DM Sans" w:eastAsia="DM Sans" w:hAnsi="DM Sans"/>
          <w:color w:val="14213D"/>
          <w:sz w:val="22"/>
          <w:szCs w:val="22"/>
        </w:rPr>
        <w:t xml:space="preserve"> het patroon is niet "belangrijk = ACID". Het patroon is: </w:t>
      </w:r>
      <w:r>
        <w:rPr>
          <w:rFonts w:ascii="DM Sans" w:cs="DM Sans" w:eastAsia="DM Sans" w:hAnsi="DM Sans"/>
          <w:i/>
          <w:iCs/>
          <w:color w:val="14213D"/>
          <w:sz w:val="22"/>
          <w:szCs w:val="22"/>
        </w:rPr>
        <w:t xml:space="preserve">is er een tegenpartij, een geldbedrag of een wettelijke aantoonbaarheidsplicht?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1.4 — modelantwoord (147 woorden)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Ruud, die zorg is terecht en het is precies de vraag die de stuurgroep moet stellen.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Het verschil is niet dat PostgreSQL geen support kent, maar dat je die apart inkoopt in plaats van gebundeld in de licentie. Partijen als EDB en gespecialiseerde Nederlandse leveranciers bieden 24/7-contracten met vastgelegde reactietijden, inclusief escalatie naar mensen die aan de broncode meewerken. Wij vergelijken dus niet "support" met "geen support", maar de kosten van licentie-plus-support tegen de kosten van support alleen.</w:t>
      </w:r>
    </w:p>
    <w:p>
      <w:pPr>
        <w:pBdr>
          <w:left w:val="single" w:color="E9A13B" w:sz="18" w:space="8"/>
        </w:pBdr>
        <w:shd w:fill="F4F2EC" w:val="clear"/>
        <w:spacing w:after="100" w:before="100"/>
        <w:ind w:left="480"/>
      </w:pPr>
      <w:r>
        <w:rPr>
          <w:rFonts w:ascii="DM Sans" w:cs="DM Sans" w:eastAsia="DM Sans" w:hAnsi="DM Sans"/>
          <w:i/>
          <w:iCs/>
          <w:color w:val="14213D"/>
          <w:sz w:val="22"/>
          <w:szCs w:val="22"/>
        </w:rPr>
        <w:t xml:space="preserve">Wat we vóór livegang geregeld moeten hebben: een getekend supportcontract met een reactietijd die past bij onze hersteltijddoelstelling, een beproefde herstelprocedure die minstens één keer echt is uitgevoerd op een teruggezette back-up, en twee mensen in jouw team die de basiscertificering hebben gehaald. Zonder die drie is mijn advies om nog niet live te gaan — ongeacht welk platform we kiezen.</w:t>
      </w:r>
    </w:p>
    <w:p>
      <w:pPr>
        <w:spacing w:after="160"/>
      </w:pPr>
      <w:r>
        <w:rPr>
          <w:rFonts w:ascii="DM Sans" w:cs="DM Sans" w:eastAsia="DM Sans" w:hAnsi="DM Sans"/>
          <w:b/>
          <w:bCs/>
          <w:color w:val="14213D"/>
          <w:sz w:val="22"/>
          <w:szCs w:val="22"/>
        </w:rPr>
        <w:t xml:space="preserve">Beoordelingspunten:</w:t>
      </w:r>
      <w:r>
        <w:rPr>
          <w:rFonts w:ascii="DM Sans" w:cs="DM Sans" w:eastAsia="DM Sans" w:hAnsi="DM Sans"/>
          <w:color w:val="14213D"/>
          <w:sz w:val="22"/>
          <w:szCs w:val="22"/>
        </w:rPr>
        <w:t xml:space="preserve"> erkenning zonder relativering; feitelijke uitleg; verschuiving naar kostenvergelijking; concrete voorwaarde vooraf. Het laatste punt (advies om níét live te gaan) is optioneel maar sterk: het toont dat het advies niet productgedreven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1.5</w:t>
      </w:r>
    </w:p>
    <w:p>
      <w:pPr>
        <w:spacing w:after="160"/>
      </w:pPr>
      <w:r>
        <w:rPr>
          <w:rFonts w:ascii="DM Sans" w:cs="DM Sans" w:eastAsia="DM Sans" w:hAnsi="DM Sans"/>
          <w:color w:val="14213D"/>
          <w:sz w:val="22"/>
          <w:szCs w:val="22"/>
        </w:rPr>
        <w:t xml:space="preserve">a) </w:t>
      </w:r>
      <w:r>
        <w:rPr>
          <w:rFonts w:ascii="DM Sans" w:cs="DM Sans" w:eastAsia="DM Sans" w:hAnsi="DM Sans"/>
          <w:b/>
          <w:bCs/>
          <w:color w:val="14213D"/>
          <w:sz w:val="22"/>
          <w:szCs w:val="22"/>
        </w:rPr>
        <w:t xml:space="preserve">Uiterlijk vijf jaar na het verschijnen van die hoofdversie.</w:t>
      </w:r>
      <w:r>
        <w:rPr>
          <w:rFonts w:ascii="DM Sans" w:cs="DM Sans" w:eastAsia="DM Sans" w:hAnsi="DM Sans"/>
          <w:color w:val="14213D"/>
          <w:sz w:val="22"/>
          <w:szCs w:val="22"/>
        </w:rPr>
        <w:t xml:space="preserve"> Let op: vijf jaar na </w:t>
      </w:r>
      <w:r>
        <w:rPr>
          <w:rFonts w:ascii="DM Sans" w:cs="DM Sans" w:eastAsia="DM Sans" w:hAnsi="DM Sans"/>
          <w:i/>
          <w:iCs/>
          <w:color w:val="14213D"/>
          <w:sz w:val="22"/>
          <w:szCs w:val="22"/>
        </w:rPr>
        <w:t xml:space="preserve">verschijnen</w:t>
      </w:r>
      <w:r>
        <w:rPr>
          <w:rFonts w:ascii="DM Sans" w:cs="DM Sans" w:eastAsia="DM Sans" w:hAnsi="DM Sans"/>
          <w:color w:val="14213D"/>
          <w:sz w:val="22"/>
          <w:szCs w:val="22"/>
        </w:rPr>
        <w:t xml:space="preserve">, niet vijf jaar na de livegang van Meridiaan. Ga je live op een versie die al twee jaar oud is, dan resteren nog drie jaar.</w:t>
      </w:r>
    </w:p>
    <w:p>
      <w:pPr>
        <w:spacing w:after="160"/>
      </w:pPr>
      <w:r>
        <w:rPr>
          <w:rFonts w:ascii="DM Sans" w:cs="DM Sans" w:eastAsia="DM Sans" w:hAnsi="DM Sans"/>
          <w:color w:val="14213D"/>
          <w:sz w:val="22"/>
          <w:szCs w:val="22"/>
        </w:rPr>
        <w:t xml:space="preserve">b) </w:t>
      </w:r>
      <w:r>
        <w:rPr>
          <w:rFonts w:ascii="DM Sans" w:cs="DM Sans" w:eastAsia="DM Sans" w:hAnsi="DM Sans"/>
          <w:b/>
          <w:bCs/>
          <w:color w:val="14213D"/>
          <w:sz w:val="22"/>
          <w:szCs w:val="22"/>
        </w:rPr>
        <w:t xml:space="preserve">Hoofdversies</w:t>
      </w:r>
      <w:r>
        <w:rPr>
          <w:rFonts w:ascii="DM Sans" w:cs="DM Sans" w:eastAsia="DM Sans" w:hAnsi="DM Sans"/>
          <w:color w:val="14213D"/>
          <w:sz w:val="22"/>
          <w:szCs w:val="22"/>
        </w:rPr>
        <w:t xml:space="preserve"> (kunnen gedragswijzigingen bevatten; functionele hertest noodzakelijk) en </w:t>
      </w:r>
      <w:r>
        <w:rPr>
          <w:rFonts w:ascii="DM Sans" w:cs="DM Sans" w:eastAsia="DM Sans" w:hAnsi="DM Sans"/>
          <w:b/>
          <w:bCs/>
          <w:color w:val="14213D"/>
          <w:sz w:val="22"/>
          <w:szCs w:val="22"/>
        </w:rPr>
        <w:t xml:space="preserve">subversies</w:t>
      </w:r>
      <w:r>
        <w:rPr>
          <w:rFonts w:ascii="DM Sans" w:cs="DM Sans" w:eastAsia="DM Sans" w:hAnsi="DM Sans"/>
          <w:color w:val="14213D"/>
          <w:sz w:val="22"/>
          <w:szCs w:val="22"/>
        </w:rPr>
        <w:t xml:space="preserve"> (uitsluitend correcties en beveiligingsherstel; deze mag je binnen het reguliere patchproces doorvoeren). Subversies mogen niet worden overgeslagen als beleid — het achterwege laten ervan is de meest voorkomende oorzaak van vermijdbare kwetsbaarheden.</w:t>
      </w:r>
    </w:p>
    <w:p>
      <w:pPr>
        <w:spacing w:after="160"/>
      </w:pPr>
      <w:r>
        <w:rPr>
          <w:rFonts w:ascii="DM Sans" w:cs="DM Sans" w:eastAsia="DM Sans" w:hAnsi="DM Sans"/>
          <w:color w:val="14213D"/>
          <w:sz w:val="22"/>
          <w:szCs w:val="22"/>
        </w:rPr>
        <w:t xml:space="preserve">c) Modelantwoord: </w:t>
      </w:r>
      <w:r>
        <w:rPr>
          <w:rFonts w:ascii="DM Sans" w:cs="DM Sans" w:eastAsia="DM Sans" w:hAnsi="DM Sans"/>
          <w:i/>
          <w:iCs/>
          <w:color w:val="14213D"/>
          <w:sz w:val="22"/>
          <w:szCs w:val="22"/>
        </w:rPr>
        <w:t xml:space="preserve">"Een upgrade die één keer per vijf jaar plaatsvindt, is voor het team een onbekende ingreep met maximale spanning en maximaal risico, uitgevoerd op het moment dat het niet meer uitgesteld kan worden. Door de upgrade als terugkerende, geoefende handeling in te richten — bijvoorbeeld jaarlijks, eerst op acceptatie — verandert hij van projectrisico in routine, en houden we bovendien ruimte over als er iets tegenzit."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Uitwerking 1.6 — modelantwoord (verkort)</w:t>
      </w:r>
    </w:p>
    <w:p>
      <w:pPr>
        <w:spacing w:after="160"/>
      </w:pPr>
      <w:r>
        <w:rPr>
          <w:rFonts w:ascii="DM Sans" w:cs="DM Sans" w:eastAsia="DM Sans" w:hAnsi="DM Sans"/>
          <w:b/>
          <w:bCs/>
          <w:color w:val="14213D"/>
          <w:sz w:val="22"/>
          <w:szCs w:val="22"/>
        </w:rPr>
        <w:t xml:space="preserve">Adviesnota databaseplatform — Programma Open Pensioen</w:t>
      </w:r>
    </w:p>
    <w:p>
      <w:pPr>
        <w:spacing w:after="160"/>
      </w:pPr>
      <w:r>
        <w:rPr>
          <w:rFonts w:ascii="DM Sans" w:cs="DM Sans" w:eastAsia="DM Sans" w:hAnsi="DM Sans"/>
          <w:b/>
          <w:bCs/>
          <w:color w:val="14213D"/>
          <w:sz w:val="22"/>
          <w:szCs w:val="22"/>
        </w:rPr>
        <w:t xml:space="preserve">1. Eisen en weging</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Eis</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Weging</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Motivering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Transactionele integriteit voor aanspraken en mutaties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Onjuiste aanspraken zijn juridisch en reputationeel onacceptabel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leverancierafhankelijkheid op de datalaag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Doelarchitectuur schrijft vervangbaarheid van componenten voor</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Voorspelbare meerjarige kosten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Programmabegroting loopt over vier jaar; core-gebaseerde afrekening is niet te ramen bij groei</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Beheerbaar door een team van vier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Beheercapaciteit is de schaarste, niet de techniek</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Ondersteuning voor gemengde gegevensvormen (relationeel + JSON uit koppelvlakken)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Koppelvlakken met de kernadministratie leveren semi-gestructureerde berichten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Beschikbaarheid van kennis op de Nederlandse arbeidsmarkt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Continuïteit bij verloop</w:t>
            </w:r>
          </w:p>
        </w:tc>
      </w:tr>
    </w:tbl>
    <w:p>
      <w:pPr>
        <w:spacing w:after="160"/>
      </w:pPr>
    </w:p>
    <w:p>
      <w:pPr>
        <w:spacing w:after="160"/>
      </w:pPr>
      <w:r>
        <w:rPr>
          <w:rFonts w:ascii="DM Sans" w:cs="DM Sans" w:eastAsia="DM Sans" w:hAnsi="DM Sans"/>
          <w:b/>
          <w:bCs/>
          <w:color w:val="14213D"/>
          <w:sz w:val="22"/>
          <w:szCs w:val="22"/>
        </w:rPr>
        <w:t xml:space="preserve">2-3. Score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Eis</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PostgreSQL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SQL Server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1</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2</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3</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4</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 (mits support ingekocht)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 (bestaande kennis)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5</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jsonb</w:t>
            </w:r>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6</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t>
            </w:r>
          </w:p>
        </w:tc>
      </w:tr>
    </w:tbl>
    <w:p>
      <w:pPr>
        <w:spacing w:after="160"/>
      </w:pPr>
    </w:p>
    <w:p>
      <w:pPr>
        <w:spacing w:after="160"/>
      </w:pPr>
      <w:r>
        <w:rPr>
          <w:rFonts w:ascii="DM Sans" w:cs="DM Sans" w:eastAsia="DM Sans" w:hAnsi="DM Sans"/>
          <w:b/>
          <w:bCs/>
          <w:color w:val="14213D"/>
          <w:sz w:val="22"/>
          <w:szCs w:val="22"/>
        </w:rPr>
        <w:t xml:space="preserve">4. Conclusie</w:t>
      </w:r>
    </w:p>
    <w:p>
      <w:pPr>
        <w:spacing w:after="160"/>
      </w:pPr>
      <w:r>
        <w:rPr>
          <w:rFonts w:ascii="DM Sans" w:cs="DM Sans" w:eastAsia="DM Sans" w:hAnsi="DM Sans"/>
          <w:color w:val="14213D"/>
          <w:sz w:val="22"/>
          <w:szCs w:val="22"/>
        </w:rPr>
        <w:t xml:space="preserve">Wij adviseren </w:t>
      </w:r>
      <w:r>
        <w:rPr>
          <w:rFonts w:ascii="DM Sans" w:cs="DM Sans" w:eastAsia="DM Sans" w:hAnsi="DM Sans"/>
          <w:b/>
          <w:bCs/>
          <w:color w:val="14213D"/>
          <w:sz w:val="22"/>
          <w:szCs w:val="22"/>
        </w:rPr>
        <w:t xml:space="preserve">PostgreSQL</w:t>
      </w:r>
      <w:r>
        <w:rPr>
          <w:rFonts w:ascii="DM Sans" w:cs="DM Sans" w:eastAsia="DM Sans" w:hAnsi="DM Sans"/>
          <w:color w:val="14213D"/>
          <w:sz w:val="22"/>
          <w:szCs w:val="22"/>
        </w:rPr>
        <w:t xml:space="preserve"> als platform voor de nieuwe datalaag, met een commercieel supportcontract. Doorslaggevend zijn eis 2 en 3: de datalaag is bedoeld om twintig jaar mee te gaan en moet daarom niet afhankelijk zijn van één leverancier of van een kostenmodel dat meebeweegt met onze groei.</w:t>
      </w:r>
    </w:p>
    <w:p>
      <w:pPr>
        <w:spacing w:after="160"/>
      </w:pPr>
      <w:r>
        <w:rPr>
          <w:rFonts w:ascii="DM Sans" w:cs="DM Sans" w:eastAsia="DM Sans" w:hAnsi="DM Sans"/>
          <w:b/>
          <w:bCs/>
          <w:color w:val="14213D"/>
          <w:sz w:val="22"/>
          <w:szCs w:val="22"/>
        </w:rPr>
        <w:t xml:space="preserve">5. Risico's van de aanbevolen optie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Risico</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Beheersmaatregel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Het beheerteam heeft geen PostgreSQL-ervaring</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Twee beheerders volgen de Associate-opleiding vóór acceptatietest; supportcontract met 24/7-bereikbaarheid vanaf de eerste testomgeving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Geen enkele leverancier is contractueel aansprakelijk voor het product zelf</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Aansprakelijkheid vastleggen op het niveau van de dienstverlening in het supportcontract; hersteltijddoelstelling expliciet opnemen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Hoofdversie-upgrades vergen periodiek werk dat kan blijven liggen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Upgrade opnemen als jaarlijkse, geplande activiteit in de beheerkalender, inclusief begrote uren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Extensies (bijv. voor tijdreeksen) kunnen upgradepad beperken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Extensiegebruik vooraf laten toetsen door de architect; geen extensie zonder aantoonbare upgradehistorie</w:t>
            </w:r>
          </w:p>
        </w:tc>
      </w:tr>
    </w:tbl>
    <w:p>
      <w:pPr>
        <w:spacing w:after="160"/>
      </w:pPr>
    </w:p>
    <w:p>
      <w:pPr>
        <w:spacing w:after="160"/>
      </w:pPr>
      <w:r>
        <w:rPr>
          <w:rFonts w:ascii="DM Sans" w:cs="DM Sans" w:eastAsia="DM Sans" w:hAnsi="DM Sans"/>
          <w:b/>
          <w:bCs/>
          <w:color w:val="14213D"/>
          <w:sz w:val="22"/>
          <w:szCs w:val="22"/>
        </w:rPr>
        <w:t xml:space="preserve">Beoordelingspunten bij nakijken:</w:t>
      </w:r>
      <w:r>
        <w:rPr>
          <w:rFonts w:ascii="DM Sans" w:cs="DM Sans" w:eastAsia="DM Sans" w:hAnsi="DM Sans"/>
          <w:color w:val="14213D"/>
          <w:sz w:val="22"/>
          <w:szCs w:val="22"/>
        </w:rPr>
        <w:t xml:space="preserve"> de eisen moeten terug te voeren zijn op de casus (bijv. "team van vier" is een casusfeit); de risicotabel moet gaan over PostgreSQL en niet over SQL Server; de conclusie moet één zin met een keuze bevatten.</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Einde werkboek deel 1.</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2026-08-17T09:38:30.323Z</dcterms:created>
  <dcterms:modified xsi:type="dcterms:W3CDTF">2026-08-17T09:38:30.323Z</dcterms:modified>
</cp:coreProperties>
</file>

<file path=docProps/custom.xml><?xml version="1.0" encoding="utf-8"?>
<Properties xmlns="http://schemas.openxmlformats.org/officeDocument/2006/custom-properties" xmlns:vt="http://schemas.openxmlformats.org/officeDocument/2006/docPropsVTypes"/>
</file>