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23 — Docentenhandleiding</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23 — Docentenhandleiding</w:t>
      </w:r>
    </w:p>
    <w:p>
      <w:pPr>
        <w:spacing w:after="160"/>
      </w:pPr>
      <w:r>
        <w:rPr>
          <w:rFonts w:ascii="DM Sans" w:cs="DM Sans" w:eastAsia="DM Sans" w:hAnsi="DM Sans"/>
          <w:b/>
          <w:bCs/>
          <w:color w:val="14213D"/>
          <w:sz w:val="22"/>
          <w:szCs w:val="22"/>
        </w:rPr>
        <w:t xml:space="preserve">Cursus Databasemanagement — Niveau 3, deel 23: Architectuur voor meerdere fondsen</w:t>
      </w:r>
    </w:p>
    <w:p>
      <w:pPr>
        <w:spacing w:after="160"/>
      </w:pPr>
      <w:r>
        <w:rPr>
          <w:rFonts w:ascii="DM Sans" w:cs="DM Sans" w:eastAsia="DM Sans" w:hAnsi="DM Sans"/>
          <w:color w:val="14213D"/>
          <w:sz w:val="22"/>
          <w:szCs w:val="22"/>
        </w:rPr>
        <w:t xml:space="preserve">Dagdeel van 4 klokuren, inclusief twee pauzes — opening van niveau 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openingsdagdeel van niveau 3, en daarmee ook de introductie van een nieuwe casus-laag: de Pensioenfederatie met drie aangesloten fondsen. Twee dingen moeten in dit dagdeel landen.</w:t>
      </w:r>
    </w:p>
    <w:p>
      <w:pPr>
        <w:spacing w:after="160"/>
      </w:pPr>
      <w:r>
        <w:rPr>
          <w:rFonts w:ascii="DM Sans" w:cs="DM Sans" w:eastAsia="DM Sans" w:hAnsi="DM Sans"/>
          <w:b/>
          <w:bCs/>
          <w:color w:val="14213D"/>
          <w:sz w:val="22"/>
          <w:szCs w:val="22"/>
        </w:rPr>
        <w:t xml:space="preserve">Ten eerste, de nieuwe casus zelf.</w:t>
      </w:r>
      <w:r>
        <w:rPr>
          <w:rFonts w:ascii="DM Sans" w:cs="DM Sans" w:eastAsia="DM Sans" w:hAnsi="DM Sans"/>
          <w:color w:val="14213D"/>
          <w:sz w:val="22"/>
          <w:szCs w:val="22"/>
        </w:rPr>
        <w:t xml:space="preserve"> Deelnemers moeten begrijpen dat Meridiaan niet is verdwenen — het is nu één van drie fondsen op een gedeeld platform. Neem de tijd om dit te introduceren; het draagt de rest van niveau 3.</w:t>
      </w:r>
    </w:p>
    <w:p>
      <w:pPr>
        <w:spacing w:after="160"/>
      </w:pPr>
      <w:r>
        <w:rPr>
          <w:rFonts w:ascii="DM Sans" w:cs="DM Sans" w:eastAsia="DM Sans" w:hAnsi="DM Sans"/>
          <w:b/>
          <w:bCs/>
          <w:color w:val="14213D"/>
          <w:sz w:val="22"/>
          <w:szCs w:val="22"/>
        </w:rPr>
        <w:t xml:space="preserve">Ten tweede, en inhoudelijk belangrijker: multi-tenancy is een architectuurkeuze, geen technologiekeuze.</w:t>
      </w:r>
      <w:r>
        <w:rPr>
          <w:rFonts w:ascii="DM Sans" w:cs="DM Sans" w:eastAsia="DM Sans" w:hAnsi="DM Sans"/>
          <w:color w:val="14213D"/>
          <w:sz w:val="22"/>
          <w:szCs w:val="22"/>
        </w:rPr>
        <w:t xml:space="preserve"> Er is geen "juiste" tool die dit oplost — het is een afweging tussen isolatie en beheerlast, uitgedrukt in drie herkenbare patronen. Deelnemers die dit dagdeel afsluiten met "patroon 2 is meestal het beste" hebben de kern gemist; de kern is dat de Pensioenfederatie voor </w:t>
      </w:r>
      <w:r>
        <w:rPr>
          <w:rFonts w:ascii="DM Sans" w:cs="DM Sans" w:eastAsia="DM Sans" w:hAnsi="DM Sans"/>
          <w:b/>
          <w:bCs/>
          <w:color w:val="14213D"/>
          <w:sz w:val="22"/>
          <w:szCs w:val="22"/>
        </w:rPr>
        <w:t xml:space="preserve">verschillende fondsen verschillende patronen</w:t>
      </w:r>
      <w:r>
        <w:rPr>
          <w:rFonts w:ascii="DM Sans" w:cs="DM Sans" w:eastAsia="DM Sans" w:hAnsi="DM Sans"/>
          <w:color w:val="14213D"/>
          <w:sz w:val="22"/>
          <w:szCs w:val="22"/>
        </w:rPr>
        <w:t xml:space="preserve"> kan en soms moet kiezen.</w:t>
      </w:r>
    </w:p>
    <w:p>
      <w:pPr>
        <w:spacing w:after="160"/>
      </w:pPr>
      <w:r>
        <w:rPr>
          <w:rFonts w:ascii="DM Sans" w:cs="DM Sans" w:eastAsia="DM Sans" w:hAnsi="DM Sans"/>
          <w:b/>
          <w:bCs/>
          <w:color w:val="14213D"/>
          <w:sz w:val="22"/>
          <w:szCs w:val="22"/>
        </w:rPr>
        <w:t xml:space="preserve">De brug naar deel 24-25:</w:t>
      </w:r>
      <w:r>
        <w:rPr>
          <w:rFonts w:ascii="DM Sans" w:cs="DM Sans" w:eastAsia="DM Sans" w:hAnsi="DM Sans"/>
          <w:color w:val="14213D"/>
          <w:sz w:val="22"/>
          <w:szCs w:val="22"/>
        </w:rPr>
        <w:t xml:space="preserve"> dit dagdeel gaat over het scheiden van tenants op één cluster. Het beantwoordt niet de vraag wat je doet als één tenant (of de federatie als geheel) te groot wordt voor één server — dat is sharding, het onderwerp van de volgende twee 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geen specifieke voorbereiding nodig; dit deel introduceert de nieuwe casus vanaf nul.</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Zorg dat je de kernfeiten van de nieuwe personages paraat hebt: Femke (federatie-architect), en dat Tarik nu optreedt namens één fonds met eigen belangen in plaats van namens het hele platform.</w:t>
      </w:r>
    </w:p>
    <w:p>
      <w:pPr>
        <w:pStyle w:val="ListParagraph"/>
        <w:numPr>
          <w:ilvl w:val="0"/>
          <w:numId w:val="2"/>
        </w:numPr>
      </w:pPr>
      <w:r>
        <w:rPr>
          <w:rFonts w:ascii="DM Sans" w:cs="DM Sans" w:eastAsia="DM Sans" w:hAnsi="DM Sans"/>
          <w:color w:val="14213D"/>
          <w:sz w:val="22"/>
          <w:szCs w:val="22"/>
        </w:rPr>
        <w:t xml:space="preserve">Bereid een eenvoudig visueel schema voor van de drie patronen (tabel uit paragraaf 4) om continu zichtbaar te houden — deelnemers hebben een referentiepunt nodig terwijl ze door de drie uitwerkingen heen gaan.</w:t>
      </w:r>
    </w:p>
    <w:p>
      <w:pPr>
        <w:pStyle w:val="ListParagraph"/>
        <w:numPr>
          <w:ilvl w:val="0"/>
          <w:numId w:val="2"/>
        </w:numPr>
      </w:pPr>
      <w:r>
        <w:rPr>
          <w:rFonts w:ascii="DM Sans" w:cs="DM Sans" w:eastAsia="DM Sans" w:hAnsi="DM Sans"/>
          <w:color w:val="14213D"/>
          <w:sz w:val="22"/>
          <w:szCs w:val="22"/>
        </w:rPr>
        <w:t xml:space="preserve">Overweeg een korte, niet-technische analogie voor multi-tenancy vooraf klaar te hebben (bijvoorbeeld: een gedeeld kantoorpand met eigen kantoren versus een volledig open kantoortuin versus drie aparte gebouwen) om de kern voor niet-architecten toegankelijk te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nieuwe casus (§2) + </w:t>
            </w:r>
            <w:r>
              <w:rPr>
                <w:rFonts w:ascii="DM Sans" w:cs="DM Sans" w:eastAsia="DM Sans" w:hAnsi="DM Sans"/>
                <w:b/>
                <w:bCs/>
                <w:color w:val="14213D"/>
                <w:sz w:val="22"/>
                <w:szCs w:val="22"/>
              </w:rPr>
              <w:t xml:space="preserve">opdracht 23.1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één server niet volstaat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drie patronen in kaart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Patroon 1: RLS (§5) + opdracht 23.2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Patroon 2: schema per fonds (§6) + opdracht 23.3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Patroon 3: database per fonds (§7) + </w:t>
            </w:r>
            <w:r>
              <w:rPr>
                <w:rFonts w:ascii="DM Sans" w:cs="DM Sans" w:eastAsia="DM Sans" w:hAnsi="DM Sans"/>
                <w:b/>
                <w:bCs/>
                <w:color w:val="14213D"/>
                <w:sz w:val="22"/>
                <w:szCs w:val="22"/>
              </w:rPr>
              <w:t xml:space="preserve">opdracht 23.4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Vergelijkingskader (§8) + wat elk patroon doet met niveau 2 (§9)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23.5</w:t>
            </w:r>
            <w:r>
              <w:rPr>
                <w:rFonts w:ascii="DM Sans" w:cs="DM Sans" w:eastAsia="DM Sans" w:hAnsi="DM Sans"/>
                <w:color w:val="14213D"/>
                <w:sz w:val="22"/>
                <w:szCs w:val="22"/>
              </w:rPr>
              <w:t xml:space="preserve"> — het vergelijkingskader toepassen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Bron van waarheid (§10), migratiepad (§11) + </w:t>
            </w:r>
            <w:r>
              <w:rPr>
                <w:rFonts w:ascii="DM Sans" w:cs="DM Sans" w:eastAsia="DM Sans" w:hAnsi="DM Sans"/>
                <w:b/>
                <w:bCs/>
                <w:color w:val="14213D"/>
                <w:sz w:val="22"/>
                <w:szCs w:val="22"/>
              </w:rPr>
              <w:t xml:space="preserve">opdracht 23.6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23.7</w:t>
            </w:r>
            <w:r>
              <w:rPr>
                <w:rFonts w:ascii="DM Sans" w:cs="DM Sans" w:eastAsia="DM Sans" w:hAnsi="DM Sans"/>
                <w:color w:val="14213D"/>
                <w:sz w:val="22"/>
                <w:szCs w:val="22"/>
              </w:rPr>
              <w:t xml:space="preserve"> — het architectuuradvies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comprimeer paragraaf 9 (wat elk patroon doet met niveau-2-kennis) tot een korte opsomming zonder aparte bespreking — de kern zit al in paragraaf 5-7.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23.2 (het RLS-datalek-experiment) of 23.7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De nieuwe casus (0:00)</w:t>
      </w:r>
    </w:p>
    <w:p>
      <w:pPr>
        <w:spacing w:after="160"/>
      </w:pPr>
      <w:r>
        <w:rPr>
          <w:rFonts w:ascii="DM Sans" w:cs="DM Sans" w:eastAsia="DM Sans" w:hAnsi="DM Sans"/>
          <w:color w:val="14213D"/>
          <w:sz w:val="22"/>
          <w:szCs w:val="22"/>
        </w:rPr>
        <w:t xml:space="preserve">Neem hier bewust de tijd — dit is de introductie van een nieuwe laag die de rest van niveau 3 draagt. Vertel het verhaal: Meridiaan bestaat, is niet veranderd, maar is nu één van drie fondsen op een gedeeld platform. Introduceer Femke als nieuw personage en positioneer Tarik opnieuw: niet langer "de architect" in algemene zin, maar de architect die de belangen van Meridiaan specifiek behartigt binnen een groter geheel.</w:t>
      </w:r>
    </w:p>
    <w:p>
      <w:pPr>
        <w:spacing w:after="160"/>
      </w:pPr>
      <w:r>
        <w:rPr>
          <w:rFonts w:ascii="DM Sans" w:cs="DM Sans" w:eastAsia="DM Sans" w:hAnsi="DM Sans"/>
          <w:color w:val="14213D"/>
          <w:sz w:val="22"/>
          <w:szCs w:val="22"/>
        </w:rPr>
        <w:t xml:space="preserve">Laat opdracht 23.1 de casus laten "landen" voordat er iets technisch gebeurt.</w:t>
      </w:r>
    </w:p>
    <w:p>
      <w:pPr>
        <w:pStyle w:val="Heading3"/>
      </w:pPr>
      <w:r>
        <w:rPr>
          <w:rFonts w:ascii="DM Sans" w:cs="DM Sans" w:eastAsia="DM Sans" w:hAnsi="DM Sans"/>
          <w:color w:val="14213D"/>
          <w:sz w:val="22"/>
          <w:szCs w:val="22"/>
        </w:rPr>
        <w:t xml:space="preserve">4.2 Waarom één server niet volstaat (0:15)</w:t>
      </w:r>
    </w:p>
    <w:p>
      <w:pPr>
        <w:spacing w:after="160"/>
      </w:pPr>
      <w:r>
        <w:rPr>
          <w:rFonts w:ascii="DM Sans" w:cs="DM Sans" w:eastAsia="DM Sans" w:hAnsi="DM Sans"/>
          <w:color w:val="14213D"/>
          <w:sz w:val="22"/>
          <w:szCs w:val="22"/>
        </w:rPr>
        <w:t xml:space="preserve">Stel de vier vragen uit paragraaf 3 hardop en laat de zaal merken dat niveau 2 daar geen kant-en-klaar antwoord op had. Dat is de motivatie voor de rest van de dag.</w:t>
      </w:r>
    </w:p>
    <w:p>
      <w:pPr>
        <w:pStyle w:val="Heading3"/>
      </w:pPr>
      <w:r>
        <w:rPr>
          <w:rFonts w:ascii="DM Sans" w:cs="DM Sans" w:eastAsia="DM Sans" w:hAnsi="DM Sans"/>
          <w:color w:val="14213D"/>
          <w:sz w:val="22"/>
          <w:szCs w:val="22"/>
        </w:rPr>
        <w:t xml:space="preserve">4.3 Patroon 1: RLS (0:30)</w:t>
      </w:r>
    </w:p>
    <w:p>
      <w:pPr>
        <w:spacing w:after="160"/>
      </w:pPr>
      <w:r>
        <w:rPr>
          <w:rFonts w:ascii="DM Sans" w:cs="DM Sans" w:eastAsia="DM Sans" w:hAnsi="DM Sans"/>
          <w:b/>
          <w:bCs/>
          <w:color w:val="14213D"/>
          <w:sz w:val="22"/>
          <w:szCs w:val="22"/>
        </w:rPr>
        <w:t xml:space="preserve">Het belangrijkste experiment van het dagdeel zit in opdracht 23.2d.</w:t>
      </w:r>
      <w:r>
        <w:rPr>
          <w:rFonts w:ascii="DM Sans" w:cs="DM Sans" w:eastAsia="DM Sans" w:hAnsi="DM Sans"/>
          <w:color w:val="14213D"/>
          <w:sz w:val="22"/>
          <w:szCs w:val="22"/>
        </w:rPr>
        <w:t xml:space="preserve"> Laat deelnemers redeneren (het hoeft niet met een echte pooler gereproduceerd te worden) waarom een gewone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in een gepoolde omgeving bij multi-tenancy tussen fondsen een groter risico is dan bij tenants binnen één fonds. Verbind expliciet terug naar deel 22's capstone-gebeurtenis 6 — dat was al ernstig; dit is dezelfde fout op een schaal waar de gevolgen (een datalek tussen twee juridisch zelfstandige pensioenfondsen) aanzienlijk groter zijn.</w:t>
      </w:r>
    </w:p>
    <w:p>
      <w:pPr>
        <w:pStyle w:val="Heading3"/>
      </w:pPr>
      <w:r>
        <w:rPr>
          <w:rFonts w:ascii="DM Sans" w:cs="DM Sans" w:eastAsia="DM Sans" w:hAnsi="DM Sans"/>
          <w:color w:val="14213D"/>
          <w:sz w:val="22"/>
          <w:szCs w:val="22"/>
        </w:rPr>
        <w:t xml:space="preserve">4.4 Patroon 2: schema per fonds (1:10)</w:t>
      </w:r>
    </w:p>
    <w:p>
      <w:pPr>
        <w:spacing w:after="160"/>
      </w:pPr>
      <w:r>
        <w:rPr>
          <w:rFonts w:ascii="DM Sans" w:cs="DM Sans" w:eastAsia="DM Sans" w:hAnsi="DM Sans"/>
          <w:color w:val="14213D"/>
          <w:sz w:val="22"/>
          <w:szCs w:val="22"/>
        </w:rPr>
        <w:t xml:space="preserve">Laat opdracht 23.3c het contrast met patroon 1 scherp maken: een </w:t>
      </w:r>
      <w:r>
        <w:rPr>
          <w:rFonts w:ascii="DM Mono" w:cs="DM Mono" w:eastAsia="DM Mono" w:hAnsi="DM Mono"/>
          <w:color w:val="14213D"/>
          <w:sz w:val="22"/>
          <w:szCs w:val="22"/>
        </w:rPr>
        <w:t xml:space="preserve">permission denied</w:t>
      </w:r>
      <w:r>
        <w:rPr>
          <w:rFonts w:ascii="DM Sans" w:cs="DM Sans" w:eastAsia="DM Sans" w:hAnsi="DM Sans"/>
          <w:color w:val="14213D"/>
          <w:sz w:val="22"/>
          <w:szCs w:val="22"/>
        </w:rPr>
        <w:t xml:space="preserve">-foutmelding is een fundamenteel andere garantie dan "de policy-logica was correct". Dit onderscheid — logische garantie versus structurele garantie — is de kern van waarom patroon 2 vaak de voorkeur krijgt boven patroon 1 zodra de tenants juridisch zelfstandige partijen zijn.</w:t>
      </w:r>
    </w:p>
    <w:p>
      <w:pPr>
        <w:pStyle w:val="Heading3"/>
      </w:pPr>
      <w:r>
        <w:rPr>
          <w:rFonts w:ascii="DM Sans" w:cs="DM Sans" w:eastAsia="DM Sans" w:hAnsi="DM Sans"/>
          <w:color w:val="14213D"/>
          <w:sz w:val="22"/>
          <w:szCs w:val="22"/>
        </w:rPr>
        <w:t xml:space="preserve">4.5 Patroon 3 (1:30)</w:t>
      </w:r>
    </w:p>
    <w:p>
      <w:pPr>
        <w:spacing w:after="160"/>
      </w:pPr>
      <w:r>
        <w:rPr>
          <w:rFonts w:ascii="DM Sans" w:cs="DM Sans" w:eastAsia="DM Sans" w:hAnsi="DM Sans"/>
          <w:color w:val="14213D"/>
          <w:sz w:val="22"/>
          <w:szCs w:val="22"/>
        </w:rPr>
        <w:t xml:space="preserve">Kort en conceptueel; er wordt hier niets gebouwd. Zorg dat opdracht 23.4d landt: dit patroon kost drie keer de operationele last, en dat is een reële kostenpost die tegen de isolatiewinst moet worden afgewogen, niet een verwaarloosbare voetnoot.</w:t>
      </w:r>
    </w:p>
    <w:p>
      <w:pPr>
        <w:pStyle w:val="Heading3"/>
      </w:pPr>
      <w:r>
        <w:rPr>
          <w:rFonts w:ascii="DM Sans" w:cs="DM Sans" w:eastAsia="DM Sans" w:hAnsi="DM Sans"/>
          <w:color w:val="14213D"/>
          <w:sz w:val="22"/>
          <w:szCs w:val="22"/>
        </w:rPr>
        <w:t xml:space="preserve">4.6 Vergelijkingskader en toepassing (2:05)</w:t>
      </w:r>
    </w:p>
    <w:p>
      <w:pPr>
        <w:spacing w:after="160"/>
      </w:pPr>
      <w:r>
        <w:rPr>
          <w:rFonts w:ascii="DM Sans" w:cs="DM Sans" w:eastAsia="DM Sans" w:hAnsi="DM Sans"/>
          <w:color w:val="14213D"/>
          <w:sz w:val="22"/>
          <w:szCs w:val="22"/>
        </w:rPr>
        <w:t xml:space="preserve">Behandel paragraaf 8 als kader, niet als antwoord. Laat opdracht 23.5 vervolgens elke deelnemer zelf een keuze laten maken en verdedigen — de vier scenario's zijn zo gekozen dat ze elk een ander patroon uitlokken, wat het kader test in plaats van een voorkeur te bevestigen.</w:t>
      </w:r>
    </w:p>
    <w:p>
      <w:pPr>
        <w:pStyle w:val="Heading3"/>
      </w:pPr>
      <w:r>
        <w:rPr>
          <w:rFonts w:ascii="DM Sans" w:cs="DM Sans" w:eastAsia="DM Sans" w:hAnsi="DM Sans"/>
          <w:color w:val="14213D"/>
          <w:sz w:val="22"/>
          <w:szCs w:val="22"/>
        </w:rPr>
        <w:t xml:space="preserve">4.7 Migratiepad (2:40)</w:t>
      </w:r>
    </w:p>
    <w:p>
      <w:pPr>
        <w:spacing w:after="160"/>
      </w:pPr>
      <w:r>
        <w:rPr>
          <w:rFonts w:ascii="DM Sans" w:cs="DM Sans" w:eastAsia="DM Sans" w:hAnsi="DM Sans"/>
          <w:color w:val="14213D"/>
          <w:sz w:val="22"/>
          <w:szCs w:val="22"/>
        </w:rPr>
        <w:t xml:space="preserve">Verbind expliciet terug naar deel 22: expand-contract is niet alleen een tabeltechniek maar een architectuurdiscipline. Opdracht 23.6b (welke techniek voor het migratiepad) moet uitkomen op logische replicatie, met de reden die in deel 22, paragraaf 8, al werd gegeven: bij een principieel andere doelstructuur wint logische replicatie van triggers of dubbel schrijven.</w:t>
      </w:r>
    </w:p>
    <w:p>
      <w:pPr>
        <w:pStyle w:val="Heading3"/>
      </w:pPr>
      <w:r>
        <w:rPr>
          <w:rFonts w:ascii="DM Sans" w:cs="DM Sans" w:eastAsia="DM Sans" w:hAnsi="DM Sans"/>
          <w:color w:val="14213D"/>
          <w:sz w:val="22"/>
          <w:szCs w:val="22"/>
        </w:rPr>
        <w:t xml:space="preserve">4.8 Opdracht 23.7 (2:55)</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Per-fonds-argumentatie</w:t>
      </w:r>
      <w:r>
        <w:rPr>
          <w:rFonts w:ascii="DM Sans" w:cs="DM Sans" w:eastAsia="DM Sans" w:hAnsi="DM Sans"/>
          <w:color w:val="14213D"/>
          <w:sz w:val="22"/>
          <w:szCs w:val="22"/>
        </w:rPr>
        <w:t xml:space="preserve">, geen uniforme keuze.</w:t>
      </w:r>
    </w:p>
    <w:p>
      <w:pPr>
        <w:pStyle w:val="ListParagraph"/>
        <w:numPr>
          <w:ilvl w:val="0"/>
          <w:numId w:val="2"/>
        </w:numPr>
      </w:pPr>
      <w:r>
        <w:rPr>
          <w:rFonts w:ascii="DM Sans" w:cs="DM Sans" w:eastAsia="DM Sans" w:hAnsi="DM Sans"/>
          <w:b/>
          <w:bCs/>
          <w:color w:val="14213D"/>
          <w:sz w:val="22"/>
          <w:szCs w:val="22"/>
        </w:rPr>
        <w:t xml:space="preserve">De rapportagelaag als expliciet ontwerp.</w:t>
      </w:r>
      <w:r>
        <w:rPr>
          <w:rFonts w:ascii="DM Sans" w:cs="DM Sans" w:eastAsia="DM Sans" w:hAnsi="DM Sans"/>
          <w:color w:val="14213D"/>
          <w:sz w:val="22"/>
          <w:szCs w:val="22"/>
        </w:rPr>
        <w:t xml:space="preserve"> Groepen die dit vergeten, laten zien dat ze multi-tenancy alleen vanuit isolatie bekijken en niet vanuit de federatie's eigen, legitieme behoefte aan overzicht.</w:t>
      </w:r>
    </w:p>
    <w:p>
      <w:pPr>
        <w:pStyle w:val="ListParagraph"/>
        <w:numPr>
          <w:ilvl w:val="0"/>
          <w:numId w:val="2"/>
        </w:numPr>
      </w:pPr>
      <w:r>
        <w:rPr>
          <w:rFonts w:ascii="DM Sans" w:cs="DM Sans" w:eastAsia="DM Sans" w:hAnsi="DM Sans"/>
          <w:b/>
          <w:bCs/>
          <w:color w:val="14213D"/>
          <w:sz w:val="22"/>
          <w:szCs w:val="22"/>
        </w:rPr>
        <w:t xml:space="preserve">Een echt migratiepad met de juiste techniek.</w:t>
      </w:r>
    </w:p>
    <w:p>
      <w:pPr>
        <w:pStyle w:val="ListParagraph"/>
        <w:numPr>
          <w:ilvl w:val="0"/>
          <w:numId w:val="2"/>
        </w:numPr>
      </w:pPr>
      <w:r>
        <w:rPr>
          <w:rFonts w:ascii="DM Sans" w:cs="DM Sans" w:eastAsia="DM Sans" w:hAnsi="DM Sans"/>
          <w:b/>
          <w:bCs/>
          <w:color w:val="14213D"/>
          <w:sz w:val="22"/>
          <w:szCs w:val="22"/>
        </w:rPr>
        <w:t xml:space="preserve">Een serieus risico in punt 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"Kan een fonds later alsnog van patroon wisselen als de eisen veranderen?"</w:t>
      </w:r>
    </w:p>
    <w:p>
      <w:pPr>
        <w:spacing w:after="160"/>
      </w:pPr>
      <w:r>
        <w:rPr>
          <w:rFonts w:ascii="DM Sans" w:cs="DM Sans" w:eastAsia="DM Sans" w:hAnsi="DM Sans"/>
          <w:color w:val="14213D"/>
          <w:sz w:val="22"/>
          <w:szCs w:val="22"/>
        </w:rPr>
        <w:t xml:space="preserve">Ja, en dat is precies paragraaf 11 — geen enkele architectuurkeuze is definitief, mits er een doordacht migratiepad is.</w:t>
      </w:r>
    </w:p>
    <w:p>
      <w:pPr>
        <w:spacing w:after="160"/>
      </w:pPr>
      <w:r>
        <w:rPr>
          <w:rFonts w:ascii="DM Sans" w:cs="DM Sans" w:eastAsia="DM Sans" w:hAnsi="DM Sans"/>
          <w:b/>
          <w:bCs/>
          <w:color w:val="14213D"/>
          <w:sz w:val="22"/>
          <w:szCs w:val="22"/>
        </w:rPr>
        <w:t xml:space="preserve">"Wat als twee fondsen willen fuseren?"</w:t>
      </w:r>
    </w:p>
    <w:p>
      <w:pPr>
        <w:spacing w:after="160"/>
      </w:pPr>
      <w:r>
        <w:rPr>
          <w:rFonts w:ascii="DM Sans" w:cs="DM Sans" w:eastAsia="DM Sans" w:hAnsi="DM Sans"/>
          <w:color w:val="14213D"/>
          <w:sz w:val="22"/>
          <w:szCs w:val="22"/>
        </w:rPr>
        <w:t xml:space="preserve">Dat is het omgekeerde migratiepad: van twee gescheiden structuren (ongeacht patroon) naar één. Technisch vergelijkbaar met de fusie van twee tabellen — een backfill-achtige aanpak met zorgvuldige deduplicatie en conflictresolutie op overlappende sleutels, wat in niveau 2 (deel 6) als concept al aan bod kwam bij uniciteit en integriteit.</w:t>
      </w:r>
    </w:p>
    <w:p>
      <w:pPr>
        <w:spacing w:after="160"/>
      </w:pPr>
      <w:r>
        <w:rPr>
          <w:rFonts w:ascii="DM Sans" w:cs="DM Sans" w:eastAsia="DM Sans" w:hAnsi="DM Sans"/>
          <w:b/>
          <w:bCs/>
          <w:color w:val="14213D"/>
          <w:sz w:val="22"/>
          <w:szCs w:val="22"/>
        </w:rPr>
        <w:t xml:space="preserve">"Waarom niet gewoon altijd patroon 3 — is dat niet altijd het veiligst?"</w:t>
      </w:r>
    </w:p>
    <w:p>
      <w:pPr>
        <w:spacing w:after="160"/>
      </w:pPr>
      <w:r>
        <w:rPr>
          <w:rFonts w:ascii="DM Sans" w:cs="DM Sans" w:eastAsia="DM Sans" w:hAnsi="DM Sans"/>
          <w:color w:val="14213D"/>
          <w:sz w:val="22"/>
          <w:szCs w:val="22"/>
        </w:rPr>
        <w:t xml:space="preserve">Veiligst in isolatie, ja. Maar "veiligst" is niet de enige eis — kosten en beheerlast zijn net zo reëel, en voor twee vergelijkbare, samenwerkende fondsen zoals Meridiaan en Kompas is die extra veiligheid niet nodig genoeg om de kosten te rechtvaardigen. Dit is dezelfde discipline als "niet elke tabel heeft BRIN nodig" uit deel 14.</w:t>
      </w:r>
    </w:p>
    <w:p>
      <w:pPr>
        <w:spacing w:after="160"/>
      </w:pPr>
      <w:r>
        <w:rPr>
          <w:rFonts w:ascii="DM Sans" w:cs="DM Sans" w:eastAsia="DM Sans" w:hAnsi="DM Sans"/>
          <w:b/>
          <w:bCs/>
          <w:color w:val="14213D"/>
          <w:sz w:val="22"/>
          <w:szCs w:val="22"/>
        </w:rPr>
        <w:t xml:space="preserve">"Is dit ook relevant buiten de pensioensector?"</w:t>
      </w:r>
    </w:p>
    <w:p>
      <w:pPr>
        <w:spacing w:after="160"/>
      </w:pPr>
      <w:r>
        <w:rPr>
          <w:rFonts w:ascii="DM Sans" w:cs="DM Sans" w:eastAsia="DM Sans" w:hAnsi="DM Sans"/>
          <w:color w:val="14213D"/>
          <w:sz w:val="22"/>
          <w:szCs w:val="22"/>
        </w:rPr>
        <w:t xml:space="preserve">Ja — elk platform dat meerdere, onafhankelijke klanten bedient (SaaS-bedrijven, gedeelde overheidsplatforms, franchiseorganisaties) staat voor dezelfde drie-patronen-keuze. De Pensioenfederatie is een concreet voorbeeld van een breed toepasbaar architectuurvraagstuk.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23.5 verschillende patronen voor verschillende scenario's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dat er geen universeel beste patroon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bij 23.2d het pooling-risico correct uit met verwijzing naar deel 22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de cursus als samenhangend geheel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in 23.7 verschillende patronen voor verschillende fondsen voor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kernboodschap van het dagdeel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Ontwerpt een expliciete rapportagelaag in plaats van deze te vergeten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vanuit zowel isolatie als de federatie's eigen behoeften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overal hetzelfde patroon "voor de eenvoud"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Bakens afwijkende profiel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het migratiepad of het risico in de hoofdopdracht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de volledige checklist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24</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"Vandaag hebben jullie geleerd hoe je fondsen van elkaar scheidt op een gedeeld platform. Wat we niet hebben opgelost: wat gebeurt er als één fonds — of de federatie als geheel — simpelweg te groot wordt voor de capaciteit van één server, ongeacht welk multi-tenant-patroon je koos? Dat is een ander probleem dan isolatie, en het heet sharding. Volgende keer beginnen we bij de fundamenten: waarom partitionering uit deel 16, die alles binnen één server hield, op een gegeven moment niet meer volstaat."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2026-08-17T09:38:43.429Z</dcterms:created>
  <dcterms:modified xsi:type="dcterms:W3CDTF">2026-08-17T09:38:43.429Z</dcterms:modified>
</cp:coreProperties>
</file>

<file path=docProps/custom.xml><?xml version="1.0" encoding="utf-8"?>
<Properties xmlns="http://schemas.openxmlformats.org/officeDocument/2006/custom-properties" xmlns:vt="http://schemas.openxmlformats.org/officeDocument/2006/docPropsVTypes"/>
</file>