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30 — Docentenhandleiding</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30 — Docentenhandleiding</w:t>
      </w:r>
    </w:p>
    <w:p>
      <w:pPr>
        <w:spacing w:after="160"/>
      </w:pPr>
      <w:r>
        <w:rPr>
          <w:rFonts w:ascii="DM Sans" w:cs="DM Sans" w:eastAsia="DM Sans" w:hAnsi="DM Sans"/>
          <w:b/>
          <w:bCs/>
          <w:color w:val="14213D"/>
          <w:sz w:val="22"/>
          <w:szCs w:val="22"/>
        </w:rPr>
        <w:t xml:space="preserve">Cursus Databasemanagement — Niveau 3, deel 30: Niveau-3-capstone en afsluiting</w:t>
      </w:r>
    </w:p>
    <w:p>
      <w:pPr>
        <w:spacing w:after="160"/>
      </w:pPr>
      <w:r>
        <w:rPr>
          <w:rFonts w:ascii="DM Sans" w:cs="DM Sans" w:eastAsia="DM Sans" w:hAnsi="DM Sans"/>
          <w:color w:val="14213D"/>
          <w:sz w:val="22"/>
          <w:szCs w:val="22"/>
        </w:rPr>
        <w:t xml:space="preserve">Dagdeel van 4 klokuren, inclusief twee pauzes — laatste dagdeel van de cursus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laatste dagdeel van niveau 3, en van de hele dertigdelige cursus. Twee dingen moeten hier samenkomen.</w:t>
      </w:r>
    </w:p>
    <w:p>
      <w:pPr>
        <w:spacing w:after="160"/>
      </w:pPr>
      <w:r>
        <w:rPr>
          <w:rFonts w:ascii="DM Sans" w:cs="DM Sans" w:eastAsia="DM Sans" w:hAnsi="DM Sans"/>
          <w:b/>
          <w:bCs/>
          <w:color w:val="14213D"/>
          <w:sz w:val="22"/>
          <w:szCs w:val="22"/>
        </w:rPr>
        <w:t xml:space="preserve">Ten eerste, de niveau-3-capstone zelf:</w:t>
      </w:r>
      <w:r>
        <w:rPr>
          <w:rFonts w:ascii="DM Sans" w:cs="DM Sans" w:eastAsia="DM Sans" w:hAnsi="DM Sans"/>
          <w:color w:val="14213D"/>
          <w:sz w:val="22"/>
          <w:szCs w:val="22"/>
        </w:rPr>
        <w:t xml:space="preserve"> een vijfjarenplan voor de Pensioenfederatie dat alle acht delen van dit niveau bevraagt, verdedigd voor een panel dat samen de volledige breedte van de casus vertegenwoordigt (Femke, Tarik, Ruud, Sanne). Dit is qua vorm een terugkeer naar deel 10's verdedigingsformat (in plaats van deel 22's acht-losse-gebeurtenissen-format) — passend bij het architectuurniveau: één samenhangend plan, kritisch bevraagd, in plaats van acht losse operationele incidenten.</w:t>
      </w:r>
    </w:p>
    <w:p>
      <w:pPr>
        <w:spacing w:after="160"/>
      </w:pPr>
      <w:r>
        <w:rPr>
          <w:rFonts w:ascii="DM Sans" w:cs="DM Sans" w:eastAsia="DM Sans" w:hAnsi="DM Sans"/>
          <w:b/>
          <w:bCs/>
          <w:color w:val="14213D"/>
          <w:sz w:val="22"/>
          <w:szCs w:val="22"/>
        </w:rPr>
        <w:t xml:space="preserve">Ten tweede, de afsluiting van de hele cursus.</w:t>
      </w:r>
      <w:r>
        <w:rPr>
          <w:rFonts w:ascii="DM Sans" w:cs="DM Sans" w:eastAsia="DM Sans" w:hAnsi="DM Sans"/>
          <w:color w:val="14213D"/>
          <w:sz w:val="22"/>
          <w:szCs w:val="22"/>
        </w:rPr>
        <w:t xml:space="preserve"> Dit deel is het laatste moment om de dertig delen als één geheel te laten landen — van deel 1 (wat is een tabel) tot vandaag (een architectuurplan voor drie continenten). Neem hiervoor bewust tijd; het is geen formaliteit maar het moment waarop de cursus zijn volle samenhang toont.</w:t>
      </w:r>
    </w:p>
    <w:p>
      <w:pPr>
        <w:spacing w:after="160"/>
      </w:pPr>
      <w:r>
        <w:rPr>
          <w:rFonts w:ascii="DM Sans" w:cs="DM Sans" w:eastAsia="DM Sans" w:hAnsi="DM Sans"/>
          <w:b/>
          <w:bCs/>
          <w:color w:val="14213D"/>
          <w:sz w:val="22"/>
          <w:szCs w:val="22"/>
        </w:rPr>
        <w:t xml:space="preserve">De belangrijkste beoordelingsdimensie van vandaag is niet kennis van individuele feiten, maar synthese onder druk:</w:t>
      </w:r>
      <w:r>
        <w:rPr>
          <w:rFonts w:ascii="DM Sans" w:cs="DM Sans" w:eastAsia="DM Sans" w:hAnsi="DM Sans"/>
          <w:color w:val="14213D"/>
          <w:sz w:val="22"/>
          <w:szCs w:val="22"/>
        </w:rPr>
        <w:t xml:space="preserve"> kan een groep, geconfronteerd met een onvoorspelbare vraag, terugvallen op de principes van niveau 3 in plaats van te improviseren op een manier die het eigen plan tegenspreekt?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alle voorgaande niveau-3-delen afgerond.</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b/>
          <w:bCs/>
          <w:color w:val="14213D"/>
          <w:sz w:val="22"/>
          <w:szCs w:val="22"/>
        </w:rPr>
        <w:t xml:space="preserve">Bereid je voor om zelf een of meer panelrollen te spelen</w:t>
      </w:r>
      <w:r>
        <w:rPr>
          <w:rFonts w:ascii="DM Sans" w:cs="DM Sans" w:eastAsia="DM Sans" w:hAnsi="DM Sans"/>
          <w:color w:val="14213D"/>
          <w:sz w:val="22"/>
          <w:szCs w:val="22"/>
        </w:rPr>
        <w:t xml:space="preserve">, of wijs deze toe aan groepen die elkaars plan bevragen (kruislings, zodat niemand zijn eigen plan beoordeelt). Bij een grotere groep werkt kruislingse peer-verdediging goed; bij een kleine groep speelt de docent meerdere rollen.</w:t>
      </w:r>
    </w:p>
    <w:p>
      <w:pPr>
        <w:pStyle w:val="ListParagraph"/>
        <w:numPr>
          <w:ilvl w:val="0"/>
          <w:numId w:val="2"/>
        </w:numPr>
      </w:pPr>
      <w:r>
        <w:rPr>
          <w:rFonts w:ascii="DM Sans" w:cs="DM Sans" w:eastAsia="DM Sans" w:hAnsi="DM Sans"/>
          <w:color w:val="14213D"/>
          <w:sz w:val="22"/>
          <w:szCs w:val="22"/>
        </w:rPr>
        <w:t xml:space="preserve">Lees de voorbeeldvragen in deel B van het werkboek door en bedenk, per rol die je zelf speelt, minstens één </w:t>
      </w:r>
      <w:r>
        <w:rPr>
          <w:rFonts w:ascii="DM Sans" w:cs="DM Sans" w:eastAsia="DM Sans" w:hAnsi="DM Sans"/>
          <w:b/>
          <w:bCs/>
          <w:color w:val="14213D"/>
          <w:sz w:val="22"/>
          <w:szCs w:val="22"/>
        </w:rPr>
        <w:t xml:space="preserve">eigen, spontane vraag</w:t>
      </w:r>
      <w:r>
        <w:rPr>
          <w:rFonts w:ascii="DM Sans" w:cs="DM Sans" w:eastAsia="DM Sans" w:hAnsi="DM Sans"/>
          <w:color w:val="14213D"/>
          <w:sz w:val="22"/>
          <w:szCs w:val="22"/>
        </w:rPr>
        <w:t xml:space="preserve"> die niet in de lijst staat — de onvoorspelbaarheid is een bewust onderdeel van de opdracht.</w:t>
      </w:r>
    </w:p>
    <w:p>
      <w:pPr>
        <w:pStyle w:val="ListParagraph"/>
        <w:numPr>
          <w:ilvl w:val="0"/>
          <w:numId w:val="2"/>
        </w:numPr>
      </w:pPr>
      <w:r>
        <w:rPr>
          <w:rFonts w:ascii="DM Sans" w:cs="DM Sans" w:eastAsia="DM Sans" w:hAnsi="DM Sans"/>
          <w:color w:val="14213D"/>
          <w:sz w:val="22"/>
          <w:szCs w:val="22"/>
        </w:rPr>
        <w:t xml:space="preserve">Bereid een korte, persoonlijke afsluiting voor het einde van het dagdeel voor (paragraaf 6) — dit is het moment waarop de cursus als geheel wordt afgerond, en dat verdient meer dan een korte, formele afsluitzin.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op niveau 3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architectuuropdracht toelichten (§3-5)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30.1</w:t>
            </w:r>
            <w:r>
              <w:rPr>
                <w:rFonts w:ascii="DM Sans" w:cs="DM Sans" w:eastAsia="DM Sans" w:hAnsi="DM Sans"/>
                <w:color w:val="14213D"/>
                <w:sz w:val="22"/>
                <w:szCs w:val="22"/>
              </w:rPr>
              <w:t xml:space="preserve"> — het vijfjarenplan schrijven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Rolverdeling en voorbereiding verdediging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30.2</w:t>
            </w:r>
            <w:r>
              <w:rPr>
                <w:rFonts w:ascii="DM Sans" w:cs="DM Sans" w:eastAsia="DM Sans" w:hAnsi="DM Sans"/>
                <w:color w:val="14213D"/>
                <w:sz w:val="22"/>
                <w:szCs w:val="22"/>
              </w:rPr>
              <w:t xml:space="preserve"> — de verdedigingen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 + panel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3:35-3:50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Examenvoorbereiding clustercertificering (§7)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Terugblik op de hele cursus en afsluiting (§8-9)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verkort het aantal verdedigingen (bijvoorbeeld twee volledige verdedigingen in de zaal, de rest schriftelijk nagekeken) in plaats van de schrijftijd of de afsluiting in te korten.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de afsluiting (paragraaf 8-9) in — dit is het laatste moment van de hele cursus en verdient zijn volle tijd.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Terugblik op niveau 3 (0:00)</w:t>
      </w:r>
    </w:p>
    <w:p>
      <w:pPr>
        <w:spacing w:after="160"/>
      </w:pPr>
      <w:r>
        <w:rPr>
          <w:rFonts w:ascii="DM Sans" w:cs="DM Sans" w:eastAsia="DM Sans" w:hAnsi="DM Sans"/>
          <w:color w:val="14213D"/>
          <w:sz w:val="22"/>
          <w:szCs w:val="22"/>
        </w:rPr>
        <w:t xml:space="preserve">Loop de tabel uit paragraaf 2 van de reader langs. Vraag de zaal bij elk deel kort: "wat was het kernmoment van dit deel?" — laat ze het zelf ophalen (de fonds_id-valkuil in 24, de colocate_with-valkuil in 25, het AVG-vraagstuk in 28, enzovoort) in plaats van het voor te zeggen.</w:t>
      </w:r>
    </w:p>
    <w:p>
      <w:pPr>
        <w:pStyle w:val="Heading3"/>
      </w:pPr>
      <w:r>
        <w:rPr>
          <w:rFonts w:ascii="DM Sans" w:cs="DM Sans" w:eastAsia="DM Sans" w:hAnsi="DM Sans"/>
          <w:color w:val="14213D"/>
          <w:sz w:val="22"/>
          <w:szCs w:val="22"/>
        </w:rPr>
        <w:t xml:space="preserve">4.2 De architectuuropdracht (0:15)</w:t>
      </w:r>
    </w:p>
    <w:p>
      <w:pPr>
        <w:spacing w:after="160"/>
      </w:pPr>
      <w:r>
        <w:rPr>
          <w:rFonts w:ascii="DM Sans" w:cs="DM Sans" w:eastAsia="DM Sans" w:hAnsi="DM Sans"/>
          <w:color w:val="14213D"/>
          <w:sz w:val="22"/>
          <w:szCs w:val="22"/>
        </w:rPr>
        <w:t xml:space="preserve">Benadruk het opzettelijk onzekere karakter van het scenario (paragraaf 3). Dit is bewust anders dan de meer afgebakende opdrachten in eerdere delen — een architect werkt zelden met volledige zekerheid, en deze opdracht test of groepen daarmee om kunnen gaan zonder toevlucht te zoeken tot vage, niet-onderbouwde uitspraken.</w:t>
      </w:r>
    </w:p>
    <w:p>
      <w:pPr>
        <w:pStyle w:val="Heading3"/>
      </w:pPr>
      <w:r>
        <w:rPr>
          <w:rFonts w:ascii="DM Sans" w:cs="DM Sans" w:eastAsia="DM Sans" w:hAnsi="DM Sans"/>
          <w:color w:val="14213D"/>
          <w:sz w:val="22"/>
          <w:szCs w:val="22"/>
        </w:rPr>
        <w:t xml:space="preserve">4.3 Het schrijven (0:30)</w:t>
      </w:r>
    </w:p>
    <w:p>
      <w:pPr>
        <w:spacing w:after="160"/>
      </w:pPr>
      <w:r>
        <w:rPr>
          <w:rFonts w:ascii="DM Sans" w:cs="DM Sans" w:eastAsia="DM Sans" w:hAnsi="DM Sans"/>
          <w:color w:val="14213D"/>
          <w:sz w:val="22"/>
          <w:szCs w:val="22"/>
        </w:rPr>
        <w:t xml:space="preserve">Loop rond en let op groepen die bij één of meer van de vijf onderdelen (paragraaf 4) vaag blijven ("het hangt ervan af" zonder verdere onderbouwing). Stuur bij: elk onderdeel vraagt een concreet, beargumenteerd standpunt, ook al is de onderliggende situatie onzeker.</w:t>
      </w:r>
    </w:p>
    <w:p>
      <w:pPr>
        <w:pStyle w:val="Heading3"/>
      </w:pPr>
      <w:r>
        <w:rPr>
          <w:rFonts w:ascii="DM Sans" w:cs="DM Sans" w:eastAsia="DM Sans" w:hAnsi="DM Sans"/>
          <w:color w:val="14213D"/>
          <w:sz w:val="22"/>
          <w:szCs w:val="22"/>
        </w:rPr>
        <w:t xml:space="preserve">4.4 De verdedigingen: het hart van het dagdeel (2:20)</w:t>
      </w:r>
    </w:p>
    <w:p>
      <w:pPr>
        <w:spacing w:after="160"/>
      </w:pPr>
      <w:r>
        <w:rPr>
          <w:rFonts w:ascii="DM Sans" w:cs="DM Sans" w:eastAsia="DM Sans" w:hAnsi="DM Sans"/>
          <w:b/>
          <w:bCs/>
          <w:color w:val="14213D"/>
          <w:sz w:val="22"/>
          <w:szCs w:val="22"/>
        </w:rPr>
        <w:t xml:space="preserve">Speel de panelrollen met overtuiging en specificiteit.</w:t>
      </w:r>
      <w:r>
        <w:rPr>
          <w:rFonts w:ascii="DM Sans" w:cs="DM Sans" w:eastAsia="DM Sans" w:hAnsi="DM Sans"/>
          <w:color w:val="14213D"/>
          <w:sz w:val="22"/>
          <w:szCs w:val="22"/>
        </w:rPr>
        <w:t xml:space="preserve"> Een panellid dat alleen algemene vragen stelt, mist de kans om de synthesevaardigheid echt te testen. Gebruik de voorbeeldvragen als vertrekpunt, maar volg door op wat de groep daadwerkelijk antwoordt — een goede vervolgvraag ontstaat uit het antwoord, niet uit een vaste lijst.</w:t>
      </w:r>
    </w:p>
    <w:p>
      <w:pPr>
        <w:spacing w:after="160"/>
      </w:pPr>
      <w:r>
        <w:rPr>
          <w:rFonts w:ascii="DM Sans" w:cs="DM Sans" w:eastAsia="DM Sans" w:hAnsi="DM Sans"/>
          <w:b/>
          <w:bCs/>
          <w:color w:val="14213D"/>
          <w:sz w:val="22"/>
          <w:szCs w:val="22"/>
        </w:rPr>
        <w:t xml:space="preserve">Let specifiek op:</w:t>
      </w:r>
    </w:p>
    <w:p>
      <w:pPr>
        <w:pStyle w:val="ListParagraph"/>
        <w:numPr>
          <w:ilvl w:val="0"/>
          <w:numId w:val="2"/>
        </w:numPr>
      </w:pPr>
      <w:r>
        <w:rPr>
          <w:rFonts w:ascii="DM Sans" w:cs="DM Sans" w:eastAsia="DM Sans" w:hAnsi="DM Sans"/>
          <w:color w:val="14213D"/>
          <w:sz w:val="22"/>
          <w:szCs w:val="22"/>
        </w:rPr>
        <w:t xml:space="preserve">Wordt een onverwachte vraag herleid naar een principe uit niveau 3, of komt er een los, ad-hoc antwoord dat het geschreven plan tegenspreekt?</w:t>
      </w:r>
    </w:p>
    <w:p>
      <w:pPr>
        <w:pStyle w:val="ListParagraph"/>
        <w:numPr>
          <w:ilvl w:val="0"/>
          <w:numId w:val="2"/>
        </w:numPr>
      </w:pPr>
      <w:r>
        <w:rPr>
          <w:rFonts w:ascii="DM Sans" w:cs="DM Sans" w:eastAsia="DM Sans" w:hAnsi="DM Sans"/>
          <w:color w:val="14213D"/>
          <w:sz w:val="22"/>
          <w:szCs w:val="22"/>
        </w:rPr>
        <w:t xml:space="preserve">Wordt een zwak punt toegegeven, of tot elke prijs verdedigd?</w:t>
      </w:r>
    </w:p>
    <w:p>
      <w:pPr>
        <w:pStyle w:val="ListParagraph"/>
        <w:numPr>
          <w:ilvl w:val="0"/>
          <w:numId w:val="2"/>
        </w:numPr>
      </w:pPr>
      <w:r>
        <w:rPr>
          <w:rFonts w:ascii="DM Sans" w:cs="DM Sans" w:eastAsia="DM Sans" w:hAnsi="DM Sans"/>
          <w:color w:val="14213D"/>
          <w:sz w:val="22"/>
          <w:szCs w:val="22"/>
        </w:rPr>
        <w:t xml:space="preserve">Blijft de groep bij de "nog niet nodig"-discipline onder druk, of laat men zich verleiden tot overhaaste aanbevelingen als een panellid kritisch doorvraagt?</w:t>
      </w:r>
    </w:p>
    <w:p>
      <w:pPr>
        <w:spacing w:after="160"/>
      </w:pPr>
      <w:r>
        <w:rPr>
          <w:rFonts w:ascii="DM Sans" w:cs="DM Sans" w:eastAsia="DM Sans" w:hAnsi="DM Sans"/>
          <w:color w:val="14213D"/>
          <w:sz w:val="22"/>
          <w:szCs w:val="22"/>
        </w:rPr>
        <w:t xml:space="preserve">Bespreek na elke verdediging kort (twee minuten) wat sterk was en wat een aandachtspunt is, vóór de volgende groep begint.</w:t>
      </w:r>
    </w:p>
    <w:p>
      <w:pPr>
        <w:pStyle w:val="Heading3"/>
      </w:pPr>
      <w:r>
        <w:rPr>
          <w:rFonts w:ascii="DM Sans" w:cs="DM Sans" w:eastAsia="DM Sans" w:hAnsi="DM Sans"/>
          <w:color w:val="14213D"/>
          <w:sz w:val="22"/>
          <w:szCs w:val="22"/>
        </w:rPr>
        <w:t xml:space="preserve">4.5 Examenvoorbereiding (3:35)</w:t>
      </w:r>
    </w:p>
    <w:p>
      <w:pPr>
        <w:spacing w:after="160"/>
      </w:pPr>
      <w:r>
        <w:rPr>
          <w:rFonts w:ascii="DM Sans" w:cs="DM Sans" w:eastAsia="DM Sans" w:hAnsi="DM Sans"/>
          <w:color w:val="14213D"/>
          <w:sz w:val="22"/>
          <w:szCs w:val="22"/>
        </w:rPr>
        <w:t xml:space="preserve">Kort en praktisch. Benadruk vooral punt 2 uit paragraaf 7 van de reader: niveau 3's technologie (Citus specifiek) evolueert sneller dan de fundamentelere stof uit niveau 1-2, dus een blauwdrukcontrole vlak vóór het examen is hier belangrijker dan bij eerdere certificeringen.</w:t>
      </w:r>
    </w:p>
    <w:p>
      <w:pPr>
        <w:pStyle w:val="Heading3"/>
      </w:pPr>
      <w:r>
        <w:rPr>
          <w:rFonts w:ascii="DM Sans" w:cs="DM Sans" w:eastAsia="DM Sans" w:hAnsi="DM Sans"/>
          <w:color w:val="14213D"/>
          <w:sz w:val="22"/>
          <w:szCs w:val="22"/>
        </w:rPr>
        <w:t xml:space="preserve">4.6 De afsluiting (3:50)</w:t>
      </w:r>
    </w:p>
    <w:p>
      <w:pPr>
        <w:spacing w:after="160"/>
      </w:pPr>
      <w:r>
        <w:rPr>
          <w:rFonts w:ascii="DM Sans" w:cs="DM Sans" w:eastAsia="DM Sans" w:hAnsi="DM Sans"/>
          <w:b/>
          <w:bCs/>
          <w:color w:val="14213D"/>
          <w:sz w:val="22"/>
          <w:szCs w:val="22"/>
        </w:rPr>
        <w:t xml:space="preserve">Neem hier de tijd die de rest van het schema je geeft.</w:t>
      </w:r>
      <w:r>
        <w:rPr>
          <w:rFonts w:ascii="DM Sans" w:cs="DM Sans" w:eastAsia="DM Sans" w:hAnsi="DM Sans"/>
          <w:color w:val="14213D"/>
          <w:sz w:val="22"/>
          <w:szCs w:val="22"/>
        </w:rPr>
        <w:t xml:space="preserve"> Loop de terugblik uit paragraaf 8 van de reader langs — niet als opsomming maar als verhaal: waar de cursus begon, hoe de casus meegroeide (Meridiaan alleen → Meridiaan op productieschaal → de Pensioenfederatie), en wat door alle dertig delen heen hetzelfde bleef. Sluit af met paragraaf 9 — de boodschap dat de vaardigheid geen checklist is maar oordeel.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"Wordt dit vijfjarenplan strenger beoordeeld dan eerdere hoofdopdrachten?"</w:t>
      </w:r>
    </w:p>
    <w:p>
      <w:pPr>
        <w:spacing w:after="160"/>
      </w:pPr>
      <w:r>
        <w:rPr>
          <w:rFonts w:ascii="DM Sans" w:cs="DM Sans" w:eastAsia="DM Sans" w:hAnsi="DM Sans"/>
          <w:color w:val="14213D"/>
          <w:sz w:val="22"/>
          <w:szCs w:val="22"/>
        </w:rPr>
        <w:t xml:space="preserve">Niet strenger, maar op een andere vaardigheid: eerdere opdrachten hadden vaak een dominant "juist" antwoord gegeven de casus-specificaties; dit scenario is bewust onzekerder, dus de beoordeling let sterker op de kwaliteit van de argumentatie dan op het "raden" van de bedoelde uitkomst.</w:t>
      </w:r>
    </w:p>
    <w:p>
      <w:pPr>
        <w:spacing w:after="160"/>
      </w:pPr>
      <w:r>
        <w:rPr>
          <w:rFonts w:ascii="DM Sans" w:cs="DM Sans" w:eastAsia="DM Sans" w:hAnsi="DM Sans"/>
          <w:b/>
          <w:bCs/>
          <w:color w:val="14213D"/>
          <w:sz w:val="22"/>
          <w:szCs w:val="22"/>
        </w:rPr>
        <w:t xml:space="preserve">"Wat als ons plan een aanbeveling bevat die het panel het oneens mee is?"</w:t>
      </w:r>
    </w:p>
    <w:p>
      <w:pPr>
        <w:spacing w:after="160"/>
      </w:pPr>
      <w:r>
        <w:rPr>
          <w:rFonts w:ascii="DM Sans" w:cs="DM Sans" w:eastAsia="DM Sans" w:hAnsi="DM Sans"/>
          <w:color w:val="14213D"/>
          <w:sz w:val="22"/>
          <w:szCs w:val="22"/>
        </w:rPr>
        <w:t xml:space="preserve">Dat is prima, en zelfs waardevol — een panellid dat het oneens is en dat beargumenteert, geeft de groep de kans om hun eigen redenering te verdedigen of, indien terecht, bij te stellen. Het doel is niet unanieme instemming maar een doorleefde, verdedigbare redenering.</w:t>
      </w:r>
    </w:p>
    <w:p>
      <w:pPr>
        <w:spacing w:after="160"/>
      </w:pPr>
      <w:r>
        <w:rPr>
          <w:rFonts w:ascii="DM Sans" w:cs="DM Sans" w:eastAsia="DM Sans" w:hAnsi="DM Sans"/>
          <w:b/>
          <w:bCs/>
          <w:color w:val="14213D"/>
          <w:sz w:val="22"/>
          <w:szCs w:val="22"/>
        </w:rPr>
        <w:t xml:space="preserve">"Is er een vervolg op deze cursus voor wie verder wil in gedistribueerde systemen?"</w:t>
      </w:r>
    </w:p>
    <w:p>
      <w:pPr>
        <w:spacing w:after="160"/>
      </w:pPr>
      <w:r>
        <w:rPr>
          <w:rFonts w:ascii="DM Sans" w:cs="DM Sans" w:eastAsia="DM Sans" w:hAnsi="DM Sans"/>
          <w:color w:val="14213D"/>
          <w:sz w:val="22"/>
          <w:szCs w:val="22"/>
        </w:rPr>
        <w:t xml:space="preserve">Deze cursus behandelt de architectuurfundamenten; verdere specialisatie (specifieke Citus-certificering, verdieping in CRDT's en conflictresolutie, of praktijkervaring met een concreet productiesysteem) ligt buiten het bestek van dit traject en is een logische vervolgstap voor wie zich hierin verder wil ontwikkelen.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 van de vijf onderdelen krijgt een concreet standpunt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 van de hoofdopdracht is begrepen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Herleidt een onverwachte panelvraag naar een niveau-3-principe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Synthese onder druk, de kernvaardigheid van vandaag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Geeft een zwak punt in het eigen plan toe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Sterker signaal dan verdedigen tot elke prijs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consistent met "nog niet nodig" onder kritische druk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rode draad van niveau 3 is verinnerlijkt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Blijft vaag ("het hangt ervan af") zonder onderbouwing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terugbrengen naar een concreet standpunt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Laat zich onder druk verleiden tot overhaaste aanbevelingen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Herinneren aan de discipline die door de hele cursus liep</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Afsluiting van de cursus</w:t>
      </w:r>
    </w:p>
    <w:p>
      <w:pPr>
        <w:spacing w:after="160"/>
      </w:pPr>
      <w:r>
        <w:rPr>
          <w:rFonts w:ascii="DM Sans" w:cs="DM Sans" w:eastAsia="DM Sans" w:hAnsi="DM Sans"/>
          <w:color w:val="14213D"/>
          <w:sz w:val="22"/>
          <w:szCs w:val="22"/>
        </w:rPr>
        <w:t xml:space="preserve">Er is geen "volgend deel" — dit is het einde. Sluit het dagdeel, en de cursus, af met oprechte erkenning van wat er is opgebouwd: dertig delen, drie niveaus, van de eerste </w:t>
      </w:r>
      <w:r>
        <w:rPr>
          <w:rFonts w:ascii="DM Mono" w:cs="DM Mono" w:eastAsia="DM Mono" w:hAnsi="DM Mono"/>
          <w:color w:val="14213D"/>
          <w:sz w:val="22"/>
          <w:szCs w:val="22"/>
        </w:rPr>
        <w:t xml:space="preserve">CREATE TABLE</w:t>
      </w:r>
      <w:r>
        <w:rPr>
          <w:rFonts w:ascii="DM Sans" w:cs="DM Sans" w:eastAsia="DM Sans" w:hAnsi="DM Sans"/>
          <w:color w:val="14213D"/>
          <w:sz w:val="22"/>
          <w:szCs w:val="22"/>
        </w:rPr>
        <w:t xml:space="preserve"> tot een architectuurplan voor een internationale federatie van pensioenfondsen. De deelnemers die dit traject hebben afgerond, beschikken over een zeldzaam brede en diepe basis in databasemanagement — van SQL-fundamenten tot gedistribueerde architectuur, doorlopend verbonden door één samenhangende, herkenbare casus.</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30, van niveau 3, en van de cursus.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2026-08-17T09:38:46.574Z</dcterms:created>
  <dcterms:modified xsi:type="dcterms:W3CDTF">2026-08-17T09:38:46.574Z</dcterms:modified>
</cp:coreProperties>
</file>

<file path=docProps/custom.xml><?xml version="1.0" encoding="utf-8"?>
<Properties xmlns="http://schemas.openxmlformats.org/officeDocument/2006/custom-properties" xmlns:vt="http://schemas.openxmlformats.org/officeDocument/2006/docPropsVTypes"/>
</file>