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9 — Docentenhandleiding</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rPr>
          <w:rFonts w:ascii="DM Sans" w:cs="DM Sans" w:eastAsia="DM Sans" w:hAnsi="DM Sans"/>
          <w:color w:val="14213D"/>
          <w:sz w:val="22"/>
          <w:szCs w:val="22"/>
        </w:rPr>
        <w:t xml:space="preserve">Deel 9 — IT Environment</w:t>
      </w:r>
    </w:p>
    <w:p>
      <w:pPr>
        <w:spacing w:after="160"/>
      </w:pPr>
      <w:r>
        <w:rPr>
          <w:rFonts w:ascii="DM Sans" w:cs="DM Sans" w:eastAsia="DM Sans" w:hAnsi="DM Sans"/>
          <w:b/>
          <w:bCs/>
          <w:color w:val="14213D"/>
          <w:sz w:val="22"/>
          <w:szCs w:val="22"/>
        </w:rPr>
        <w:t xml:space="preserve">Niveau 1 — De kern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w:t>
      </w:r>
    </w:p>
    <w:p>
      <w:pPr>
        <w:spacing w:after="160"/>
      </w:pPr>
      <w:r>
        <w:rPr>
          <w:rFonts w:ascii="DM Sans" w:cs="DM Sans" w:eastAsia="DM Sans" w:hAnsi="DM Sans"/>
          <w:b/>
          <w:bCs/>
          <w:color w:val="14213D"/>
          <w:sz w:val="22"/>
          <w:szCs w:val="22"/>
        </w:rPr>
        <w:t xml:space="preserve">Kondig aan het begin aan, net als bij deel 6, dat dit deel geen nieuwe observatie sluit.</w:t>
      </w:r>
      <w:r>
        <w:rPr>
          <w:rFonts w:ascii="DM Sans" w:cs="DM Sans" w:eastAsia="DM Sans" w:hAnsi="DM Sans"/>
          <w:color w:val="14213D"/>
          <w:sz w:val="22"/>
          <w:szCs w:val="22"/>
        </w:rPr>
        <w:t xml:space="preserve"> Zeg er expliciet bij dat dit het laatste deel is vóór de capstone, en dat vandaag het fundament wordt gelegd waarop alle zes voorgaande observaties rusten.</w:t>
      </w:r>
    </w:p>
    <w:p>
      <w:pPr>
        <w:spacing w:after="160"/>
      </w:pPr>
      <w:r>
        <w:rPr>
          <w:rFonts w:ascii="DM Sans" w:cs="DM Sans" w:eastAsia="DM Sans" w:hAnsi="DM Sans"/>
          <w:b/>
          <w:bCs/>
          <w:color w:val="14213D"/>
          <w:sz w:val="22"/>
          <w:szCs w:val="22"/>
        </w:rPr>
        <w:t xml:space="preserve">Hoofddoel:</w:t>
      </w:r>
      <w:r>
        <w:rPr>
          <w:rFonts w:ascii="DM Sans" w:cs="DM Sans" w:eastAsia="DM Sans" w:hAnsi="DM Sans"/>
          <w:color w:val="14213D"/>
          <w:sz w:val="22"/>
          <w:szCs w:val="22"/>
        </w:rPr>
        <w:t xml:space="preserve"> het inzicht dat legacy geen probleem is dat je oplost, maar een permanente toestand die je beheert — en dat leeftijd daarbij een misleidende maatstaf is.</w:t>
      </w:r>
    </w:p>
    <w:p>
      <w:pPr>
        <w:spacing w:after="160"/>
      </w:pPr>
      <w:r>
        <w:rPr>
          <w:rFonts w:ascii="DM Sans" w:cs="DM Sans" w:eastAsia="DM Sans" w:hAnsi="DM Sans"/>
          <w:b/>
          <w:bCs/>
          <w:color w:val="14213D"/>
          <w:sz w:val="22"/>
          <w:szCs w:val="22"/>
        </w:rPr>
        <w:t xml:space="preserve">Tweede doel:</w:t>
      </w:r>
      <w:r>
        <w:rPr>
          <w:rFonts w:ascii="DM Sans" w:cs="DM Sans" w:eastAsia="DM Sans" w:hAnsi="DM Sans"/>
          <w:color w:val="14213D"/>
          <w:sz w:val="22"/>
          <w:szCs w:val="22"/>
        </w:rPr>
        <w:t xml:space="preserve"> de deelnemers ervaren hoe het besluitenlogboek uit deel 7 zijn eerste echte nut bewijst, niet als herhaalde oefening maar als iets dat een concreet probleem sneller oplost. Dit is de plek in de cursus waar een aantal eerder geleerde instrumenten letterlijk samenkomen — benoem dat expliciet.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één dagdeel (4 uur)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Aankondiging: laatste deel vóór de capstone, geen nieuwe O</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0:05 – 0:20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nieuwe kans; Claudette's leeftijdslijst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verhaal + slides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0:20 – 0:35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Legacy is de normale toestand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0:35 – 0:50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 — leeftijd is geen risicomaat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0:50 – 1:10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legacytriage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1:10 – 1:35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 — eigen legacytriage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1:35 – 1:50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1:50 – 2:05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2 — </w:t>
            </w:r>
            <w:r>
              <w:rPr>
                <w:rFonts w:ascii="DM Sans" w:cs="DM Sans" w:eastAsia="DM Sans" w:hAnsi="DM Sans"/>
                <w:i/>
                <w:iCs/>
                <w:color w:val="14213D"/>
                <w:sz w:val="22"/>
                <w:szCs w:val="22"/>
              </w:rPr>
              <w:t xml:space="preserve">het scharnier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2:05 – 2:25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Governance: kaders versus ontwerp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2:25 – 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 — kaders of ontwerp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2:45 – 2:55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2:55 – 3:10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Kennismanagement: het levend archief</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3:10 – 3:25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 — het besluitenlogboek raadplegen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3:25 – 3:45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5 — de due diligence voor jouw organisatie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groepen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3:45 – 4:05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due diligence afgerond; wat dit deel heeft opgeleverd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4:05 – 4:30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Terugblik op niveau 1 tot nu toe; vooruitblik capstone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Legacy is de normale toestand (0:20 – 1:35)</w:t>
      </w:r>
    </w:p>
    <w:p>
      <w:pPr>
        <w:spacing w:after="160"/>
      </w:pPr>
      <w:r>
        <w:rPr>
          <w:rFonts w:ascii="DM Sans" w:cs="DM Sans" w:eastAsia="DM Sans" w:hAnsi="DM Sans"/>
          <w:b/>
          <w:bCs/>
          <w:color w:val="14213D"/>
          <w:sz w:val="22"/>
          <w:szCs w:val="22"/>
        </w:rPr>
        <w:t xml:space="preserve">Verwacht en normaliseer weerstand tegen het loslaten van leeftijd als maatstaf.</w:t>
      </w:r>
      <w:r>
        <w:rPr>
          <w:rFonts w:ascii="DM Sans" w:cs="DM Sans" w:eastAsia="DM Sans" w:hAnsi="DM Sans"/>
          <w:color w:val="14213D"/>
          <w:sz w:val="22"/>
          <w:szCs w:val="22"/>
        </w:rPr>
        <w:t xml:space="preserve"> Voor veel deelnemers is "oud systeem = risico" zo diep ingesleten dat de eerste reactie op de legacytriage scepsis is. Gebruik de casus letterlijk: de tweeëntwintig jaar oude polisadministratie waar niemand zich zorgen over maakt, is het overtuigendste tegenvoorbeeld.</w:t>
      </w:r>
    </w:p>
    <w:p>
      <w:pPr>
        <w:spacing w:after="160"/>
      </w:pPr>
      <w:r>
        <w:rPr>
          <w:rFonts w:ascii="DM Sans" w:cs="DM Sans" w:eastAsia="DM Sans" w:hAnsi="DM Sans"/>
          <w:b/>
          <w:bCs/>
          <w:color w:val="14213D"/>
          <w:sz w:val="22"/>
          <w:szCs w:val="22"/>
        </w:rPr>
        <w:t xml:space="preserve">Bij opdracht 2 (het scharnier van de dag):</w:t>
      </w:r>
      <w:r>
        <w:rPr>
          <w:rFonts w:ascii="DM Sans" w:cs="DM Sans" w:eastAsia="DM Sans" w:hAnsi="DM Sans"/>
          <w:color w:val="14213D"/>
          <w:sz w:val="22"/>
          <w:szCs w:val="22"/>
        </w:rPr>
        <w:t xml:space="preserve"> vraag bij de nabespreking expliciet naar systemen die hoger uitkwamen dan de intuïtieve inschatting. Dat patroon — jong, onopvallend, slecht gedocumenteerd — is precies wat de oefening moet blootleggen. Leg de link naar deel 7: gebrek aan spoor is vaak de kern van slechte technische gezondheid, niet de leeftijd van de code zelf.</w:t>
      </w:r>
    </w:p>
    <w:p>
      <w:pPr>
        <w:pStyle w:val="Heading3"/>
      </w:pPr>
      <w:r>
        <w:rPr>
          <w:rFonts w:ascii="DM Sans" w:cs="DM Sans" w:eastAsia="DM Sans" w:hAnsi="DM Sans"/>
          <w:color w:val="14213D"/>
          <w:sz w:val="22"/>
          <w:szCs w:val="22"/>
        </w:rPr>
        <w:t xml:space="preserve">3.2 Kaders versus ontwerp (2:05 – 2:45)</w:t>
      </w:r>
    </w:p>
    <w:p>
      <w:pPr>
        <w:spacing w:after="160"/>
      </w:pPr>
      <w:r>
        <w:rPr>
          <w:rFonts w:ascii="DM Sans" w:cs="DM Sans" w:eastAsia="DM Sans" w:hAnsi="DM Sans"/>
          <w:b/>
          <w:bCs/>
          <w:color w:val="14213D"/>
          <w:sz w:val="22"/>
          <w:szCs w:val="22"/>
        </w:rPr>
        <w:t xml:space="preserve">Dit onderscheid is subtieler dan het lijkt en verdient een zorgvuldige gezamenlijke doorloop van minstens twee voorbeelden voordat de zaal aan opdracht 3 begint.</w:t>
      </w:r>
      <w:r>
        <w:rPr>
          <w:rFonts w:ascii="DM Sans" w:cs="DM Sans" w:eastAsia="DM Sans" w:hAnsi="DM Sans"/>
          <w:color w:val="14213D"/>
          <w:sz w:val="22"/>
          <w:szCs w:val="22"/>
        </w:rPr>
        <w:t xml:space="preserve"> Gebruik uitspraak 1 en 2 uit de opdracht (asynchrone berichten als kader, RabbitMQ als ontwerp) als gedeeld startpunt.</w:t>
      </w:r>
    </w:p>
    <w:p>
      <w:pPr>
        <w:spacing w:after="160"/>
      </w:pPr>
      <w:r>
        <w:rPr>
          <w:rFonts w:ascii="DM Sans" w:cs="DM Sans" w:eastAsia="DM Sans" w:hAnsi="DM Sans"/>
          <w:b/>
          <w:bCs/>
          <w:color w:val="14213D"/>
          <w:sz w:val="22"/>
          <w:szCs w:val="22"/>
        </w:rPr>
        <w:t xml:space="preserve">Waar het misgaat in de praktijk van deelnemers:</w:t>
      </w:r>
      <w:r>
        <w:rPr>
          <w:rFonts w:ascii="DM Sans" w:cs="DM Sans" w:eastAsia="DM Sans" w:hAnsi="DM Sans"/>
          <w:color w:val="14213D"/>
          <w:sz w:val="22"/>
          <w:szCs w:val="22"/>
        </w:rPr>
        <w:t xml:space="preserve"> architectuurgremia die zelf zijn samengesteld uit ervaren technici hebben de neiging om, eenmaal aan tafel, toch specifieke productkeuzes te becommentariëren. Vraag de zaal: herkennen jullie dit uit eigen ervaring? Dit opent vaak een levendige, herkenbare discussie.</w:t>
      </w:r>
    </w:p>
    <w:p>
      <w:pPr>
        <w:spacing w:after="160"/>
      </w:pPr>
      <w:r>
        <w:rPr>
          <w:rFonts w:ascii="DM Sans" w:cs="DM Sans" w:eastAsia="DM Sans" w:hAnsi="DM Sans"/>
          <w:b/>
          <w:bCs/>
          <w:color w:val="14213D"/>
          <w:sz w:val="22"/>
          <w:szCs w:val="22"/>
        </w:rPr>
        <w:t xml:space="preserve">Erken expliciet dat dit onderscheid de spanning uit deel 1 niet volledig oplost.</w:t>
      </w:r>
      <w:r>
        <w:rPr>
          <w:rFonts w:ascii="DM Sans" w:cs="DM Sans" w:eastAsia="DM Sans" w:hAnsi="DM Sans"/>
          <w:color w:val="14213D"/>
          <w:sz w:val="22"/>
          <w:szCs w:val="22"/>
        </w:rPr>
        <w:t xml:space="preserve"> Het geeft een werkbaar criterium voor de dagelijkse praktijk, maar de fundamentele vraag — hoort een architectuurgremium in een gereguleerde sector eigenlijk te bestaan zoals het nu bestaat — komt uitgebreider terug in niveau 2 (deel 19, agile governance). Zeg dat erbij zodat niemand denkt dat het onderwerp hiermee is afgerond.</w:t>
      </w:r>
    </w:p>
    <w:p>
      <w:pPr>
        <w:pStyle w:val="Heading3"/>
      </w:pPr>
      <w:r>
        <w:rPr>
          <w:rFonts w:ascii="DM Sans" w:cs="DM Sans" w:eastAsia="DM Sans" w:hAnsi="DM Sans"/>
          <w:color w:val="14213D"/>
          <w:sz w:val="22"/>
          <w:szCs w:val="22"/>
        </w:rPr>
        <w:t xml:space="preserve">3.3 Kennismanagement en opdracht 4 (2:55 – 3:25)</w:t>
      </w:r>
    </w:p>
    <w:p>
      <w:pPr>
        <w:spacing w:after="160"/>
      </w:pPr>
      <w:r>
        <w:rPr>
          <w:rFonts w:ascii="DM Sans" w:cs="DM Sans" w:eastAsia="DM Sans" w:hAnsi="DM Sans"/>
          <w:b/>
          <w:bCs/>
          <w:color w:val="14213D"/>
          <w:sz w:val="22"/>
          <w:szCs w:val="22"/>
        </w:rPr>
        <w:t xml:space="preserve">Laat deelnemers hun eigen besluitenlogboek uit deel 7 er echt bij pakken.</w:t>
      </w:r>
      <w:r>
        <w:rPr>
          <w:rFonts w:ascii="DM Sans" w:cs="DM Sans" w:eastAsia="DM Sans" w:hAnsi="DM Sans"/>
          <w:color w:val="14213D"/>
          <w:sz w:val="22"/>
          <w:szCs w:val="22"/>
        </w:rPr>
        <w:t xml:space="preserve"> Dit werkt alleen als ze het fysiek of digitaal voor zich hebben. Als iemand het niet heeft bewaard, laat hem het reconstrueren uit het geheugen — dat levert zelfs een extra inzicht op (hoe goed onthoud je je eigen besluit zonder het document?).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Legacytriage (opdracht 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referentie voor de capstone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Kaders-versus-ontwerp-analyse (opdracht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terugkerend in deel 19, niveau 2</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Herzien besluitenlogboek (opdracht 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directe verbetering van het document uit deel 7</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Legacytriage-sjabloon op A4</w:t>
      </w:r>
    </w:p>
    <w:p>
      <w:pPr>
        <w:pStyle w:val="ListParagraph"/>
        <w:numPr>
          <w:ilvl w:val="0"/>
          <w:numId w:val="2"/>
        </w:numPr>
      </w:pPr>
      <w:r>
        <w:rPr>
          <w:rFonts w:ascii="DM Sans" w:cs="DM Sans" w:eastAsia="DM Sans" w:hAnsi="DM Sans"/>
          <w:color w:val="14213D"/>
          <w:sz w:val="22"/>
          <w:szCs w:val="22"/>
        </w:rPr>
        <w:t xml:space="preserve">Deelnemers vragen vooraf hun besluitenlogboek van deel 7 mee te nemen (fysiek of digitaal)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Vooruitblik voor de docent</w:t>
      </w:r>
    </w:p>
    <w:p>
      <w:pPr>
        <w:spacing w:after="160"/>
      </w:pPr>
      <w:r>
        <w:rPr>
          <w:rFonts w:ascii="DM Sans" w:cs="DM Sans" w:eastAsia="DM Sans" w:hAnsi="DM Sans"/>
          <w:color w:val="14213D"/>
          <w:sz w:val="22"/>
          <w:szCs w:val="22"/>
        </w:rPr>
        <w:t xml:space="preserve">Deel 10 is de capstone van niveau 1: een proefexamen in de vorm van CITA-F (75 vragen, 2,5 uur, 70% grens) plus de verdediging van een minimum viable architecture-dossier voor drie MT-rollen (Bart Hoekstra als CIO, de financieel directeur, de directeur Uitvoering). Dit vergt een langere sessie dan de voorgaande dagdelen — reken op een volledige dag, niet een dagdeel — en de betrokkenheid van collega's of acteurs die de drie MT-rollen spelen tijdens de verdediging. Bereid dit tijdig voor: de docentenhandleiding van deel 10 bevat de volledige rolbeschrijvingen en een beoordelingsrubriek.</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2026-08-17T16:28:06.648Z</dcterms:created>
  <dcterms:modified xsi:type="dcterms:W3CDTF">2026-08-17T16:28:06.648Z</dcterms:modified>
</cp:coreProperties>
</file>

<file path=docProps/custom.xml><?xml version="1.0" encoding="utf-8"?>
<Properties xmlns="http://schemas.openxmlformats.org/officeDocument/2006/custom-properties" xmlns:vt="http://schemas.openxmlformats.org/officeDocument/2006/docPropsVTypes"/>
</file>