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DM Sans" w:cs="DM Sans" w:eastAsia="DM Sans" w:hAnsi="DM Sans"/>
          <w:b/>
          <w:bCs/>
          <w:color w:val="9A5F0D"/>
          <w:spacing w:val="40"/>
          <w:sz w:val="24"/>
          <w:szCs w:val="24"/>
        </w:rPr>
        <w:t xml:space="preserve">DUCTUS</w:t>
      </w:r>
    </w:p>
    <w:p>
      <w:pPr>
        <w:spacing w:before="400"/>
        <w:jc w:val="center"/>
      </w:pPr>
      <w:r>
        <w:rPr>
          <w:rFonts w:ascii="Cormorant Garamond" w:cs="Cormorant Garamond" w:eastAsia="Cormorant Garamond" w:hAnsi="Cormorant Garamond"/>
          <w:b/>
          <w:bCs/>
          <w:color w:val="14213D"/>
          <w:sz w:val="64"/>
          <w:szCs w:val="64"/>
        </w:rPr>
        <w:t xml:space="preserve">Deel 11 — Docentenhandleiding</w:t>
      </w:r>
    </w:p>
    <w:p>
      <w:pPr>
        <w:spacing w:after="800" w:before="200"/>
        <w:jc w:val="center"/>
      </w:pPr>
      <w:r>
        <w:rPr>
          <w:rFonts w:ascii="DM Sans" w:cs="DM Sans" w:eastAsia="DM Sans" w:hAnsi="DM Sans"/>
          <w:color w:val="55606F"/>
          <w:sz w:val="26"/>
          <w:szCs w:val="26"/>
        </w:rPr>
        <w:t xml:space="preserve">Niveau 2 · BTABoK</w:t>
      </w:r>
    </w:p>
    <w:p>
      <w:r>
        <w:br w:type="page"/>
      </w:r>
    </w:p>
    <w:p>
      <w:pPr>
        <w:pStyle w:val="Heading1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Deel 11 — Het engagement model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Niveau 2 — Engagement, waarde en specialisatie | Docentenhandleiding</w:t>
      </w:r>
    </w:p>
    <w:p>
      <w:pPr>
        <w:spacing w:after="200"/>
        <w:jc w:val="center"/>
      </w:pPr>
      <w:r>
        <w:rPr>
          <w:rFonts w:ascii="DM Sans" w:cs="DM Sans" w:eastAsia="DM Sans" w:hAnsi="DM Sans"/>
          <w:i/>
          <w:iCs/>
          <w:color w:val="55606F"/>
          <w:sz w:val="22"/>
          <w:szCs w:val="22"/>
        </w:rPr>
        <w:t xml:space="preserve">BTABoK-cursus, Ductus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1. Wat dit deel moet doen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Dit is de opening van niveau 2 — behandel het ook zo.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Kondig expliciet aan dat de casus een sprong maakt: anderhalf jaar verder, een nieuw programma, en dat niveau 2 een ander soort probleem behandelt dan niveau 1. Niveau 1 ging over persoonlijke competentie; niveau 2 gaat over hoe die competentie zich verhoudt tot een grotere organisatie, een team van architecten, en uiteindelijk een specialisatie.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Hoofddoel: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deelnemers moeten het opdrachtblad kunnen toepassen op hun eigen, vaak informele architectuurrol, en het onderscheid tussen dienst en taak voortaan automatisch maken bij binnenkomende verzoeken.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Verwacht bij deze groep: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een deel van de deelnemers heeft niveau 1 als individuele bijdrager doorlopen en werkt nu, anderhalf jaar later in de fictieve tijdlijn, misschien zelf ook in een grotere context. Gebruik dat: vraag aan het begin wie er zelf al eens "sluit je maar gewoon aan" heeft gehoord, en bouw daarop voort.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2. Tijdsindeling — één dagdeel (4 uur)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Tijd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Onderdeel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Vorm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0:00 – 0:10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Aankondiging: nieuwe casusfase, niveau 2 begint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plenair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0:10 – 0:25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"Sluit je gewoon aan" — de eerste twee weken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verhaal + slides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0:25 – 0:40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Een dienst is geen taak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plenair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0:40 – 0:55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4213D"/>
                <w:sz w:val="22"/>
                <w:szCs w:val="22"/>
              </w:rPr>
              <w:t xml:space="preserve">Opdracht 1 — taak of dienst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individueel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0:55 – 1:10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Nabespreking opdracht 1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plenair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1:10 – 1:30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Het opdrachtblad, zeven velden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plenair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1:30 – 1:45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14213D"/>
                <w:sz w:val="22"/>
                <w:szCs w:val="22"/>
              </w:rPr>
              <w:t xml:space="preserve">Pauze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1:45 – 2:10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4213D"/>
                <w:sz w:val="22"/>
                <w:szCs w:val="22"/>
              </w:rPr>
              <w:t xml:space="preserve">Opdracht 2 — eigen opdrachtblad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individueel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2:10 – 2:30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Nabespreking opdracht 2 — </w:t>
            </w:r>
            <w:r>
              <w:rPr>
                <w:rFonts w:ascii="DM Sans" w:cs="DM Sans" w:eastAsia="DM Sans" w:hAnsi="DM Sans"/>
                <w:i/>
                <w:iCs/>
                <w:color w:val="14213D"/>
                <w:sz w:val="22"/>
                <w:szCs w:val="22"/>
              </w:rPr>
              <w:t xml:space="preserve">het scharnier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plenair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2:30 – 2:50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De architectuurlevenscyclus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plenair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2:50 – 3:10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4213D"/>
                <w:sz w:val="22"/>
                <w:szCs w:val="22"/>
              </w:rPr>
              <w:t xml:space="preserve">Opdracht 3 — in welke fase zitten we?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tweetallen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3:10 – 3:20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14213D"/>
                <w:sz w:val="22"/>
                <w:szCs w:val="22"/>
              </w:rPr>
              <w:t xml:space="preserve">Pauze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3:20 – 3:35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4213D"/>
                <w:sz w:val="22"/>
                <w:szCs w:val="22"/>
              </w:rPr>
              <w:t xml:space="preserve">Opdracht 4 — het keuzemenu voor je eigen opdracht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individueel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3:35 – 3:55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4213D"/>
                <w:sz w:val="22"/>
                <w:szCs w:val="22"/>
              </w:rPr>
              <w:t xml:space="preserve">Opdracht 5 — het aanwezigheidsverzoek weigeren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groepen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3:55 – 4:15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Het gesprek met de programmadirecteur; wat dit deel opleverde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plenair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4:15 – 4:30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Vooruitblik deel 12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plenair</w:t>
            </w:r>
          </w:p>
        </w:tc>
      </w:tr>
    </w:tbl>
    <w:p>
      <w:pPr>
        <w:spacing w:after="160"/>
      </w:pP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3. Per onderdeel: aanpak en valkuilen</w:t>
      </w:r>
    </w:p>
    <w:p>
      <w:pPr>
        <w:pStyle w:val="Heading3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3.1 Een dienst is geen taak, opdracht 1 (0:25 – 1:10)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Verwacht herkenning, en veel ervan.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Vrijwel elke deelnemer met enige ervaring herkent het patroon van losse verzoeken die nooit tot een vaste vorm zijn gestold. Laat die herkenning ruimte — het is de motor van dit deel.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Bij opdracht 1, vraag 2 en 8 (de aanwezigheidsverzoeken):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een deel van de zaal zal aarzelen om dit type verzoek als "af te wijzen" te bestempelen, vooral als de vrager een leidinggevende is. Erken dat spanningsveld expliciet — het opdrachtblad is een instrument om het gesprek te voeren, geen vrijbrief om verzoeken van leidinggevenden zomaar te negeren. Zie ook 3.4 hieronder.</w:t>
      </w:r>
    </w:p>
    <w:p>
      <w:pPr>
        <w:pStyle w:val="Heading3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3.2 Het opdrachtblad en opdracht 2 (1:10 – 2:30) — het scharnier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Verwacht dat "exitcriteria" en "wat mag ik niet beslissen" de twee lastigste velden zijn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, net als bij het verdienmodelblad in deel 2. Wijs op de parallel: dit is dezelfde soort leegte als daar, nu toegepast op de eigen rol in plaats van op de organisatie.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Sterke vraag voor de nabespreking: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"Wie van jullie werkt al meer dan een jaar in dezelfde architectuurrol zonder dat er ooit een exitmoment is afgesproken?" Verwacht een aanzienlijk aantal handen — dit is de meest voorkomende bevinding en de directe link naar het besluitenlogboek-inzicht uit deel 7 en 9: tijdelijk wordt stilzwijgend permanent zonder een uitdrukkelijk heroverwegingsmoment.</w:t>
      </w:r>
    </w:p>
    <w:p>
      <w:pPr>
        <w:pStyle w:val="Heading3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3.3 De architectuurlevenscyclus (2:30 – 3:10)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Bij opdracht 3, situatie 1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(direct ontwerpen zonder verkenning) is de link met deel 6 direct — wijs erop expliciet als de zaal het niet zelf noemt. Dit deel herhaalt bewust een niveau-1-inzicht op het niveau van de hele opdracht in plaats van op het niveau van één ontwerp.</w:t>
      </w:r>
    </w:p>
    <w:p>
      <w:pPr>
        <w:pStyle w:val="Heading3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3.4 Het aanwezigheidsverzoek weigeren, opdracht 5 (3:35 – 3:55)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Dit is het gevoeligste punt van het dagdeel.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Voor sommige deelnemers voelt "weigeren" ongepast tegenover een leidinggevende of een belangrijke stakeholder. Herinner aan de onderhandelruimte uit deel 5 (niveau 1): dit is geen weigering van de relatie maar van de vorm — een tegenvoorstel, geen nee. Benadruk dat de vaardigheid hier niet is "durven weigeren" maar "een beter alternatief aanbieden dat de onderliggende behoefte serieus neemt."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4. Beoordeling en dossiervorming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Wat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Waar bewaard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Waarvoor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Opdrachtblad (opdracht 2)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deelnemersmap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actief te onderhouden document, terugkerend in deel 21/22 (specialisatiekeuze, examentraining CITA-A)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Fasediagnose (opdracht 3)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deelnemersmap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referentie voor deel 17 (operating model, niveau 2)</w:t>
            </w:r>
          </w:p>
        </w:tc>
      </w:tr>
    </w:tbl>
    <w:p>
      <w:pPr>
        <w:spacing w:after="160"/>
      </w:pP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5. Benodigdheden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Opdrachtblad-sjabloon op A4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Geen verdere specifieke materialen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6. Vooruitblik voor de docent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Deel 12 behandelt Digital Customer: ecosysteem, engagement, klantreis, innoveren — de vraag hoe de eindgebruiker (bij Meridiaan: de deelnemer) zichtbaar blijft in een programma met vijf teams die elk hun eigen stuk bouwen. Bereid je voor door de reader van deel 12 door te nemen; het bouwt voort op de klant-versus-stakeholderdiscussie uit deel 4 (niveau 1), nu toegepast op programmaniveau in plaats van op één besluit.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DM Sans" w:cs="DM Sans" w:eastAsia="DM Sans" w:hAnsi="DM Sans"/>
        <w:color w:val="55606F"/>
        <w:sz w:val="16"/>
        <w:szCs w:val="16"/>
      </w:rPr>
      <w:t xml:space="preserve">Pagina </w:t>
    </w:r>
    <w:r>
      <w:rPr>
        <w:rFonts w:ascii="DM Sans" w:cs="DM Sans" w:eastAsia="DM Sans" w:hAnsi="DM Sans"/>
        <w:color w:val="55606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DM Sans" w:cs="DM Sans" w:eastAsia="DM Sans" w:hAnsi="DM Sans"/>
        <w:color w:val="55606F"/>
        <w:sz w:val="16"/>
        <w:szCs w:val="16"/>
      </w:rPr>
      <w:t xml:space="preserve">Ductus — BTABoK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color w:val="14213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9A13B" w:sz="8" w:space="6"/>
      </w:pBdr>
      <w:spacing w:after="240" w:before="480"/>
      <w:outlineLvl w:val="0"/>
    </w:pPr>
    <w:rPr>
      <w:rFonts w:ascii="Cormorant Garamond" w:cs="Cormorant Garamond" w:eastAsia="Cormorant Garamond" w:hAnsi="Cormorant Garamond"/>
      <w:b/>
      <w:bCs/>
      <w:color w:val="14213D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Cormorant Garamond" w:cs="Cormorant Garamond" w:eastAsia="Cormorant Garamond" w:hAnsi="Cormorant Garamond"/>
      <w:b/>
      <w:bCs/>
      <w:color w:val="1B4A8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DM Sans" w:cs="DM Sans" w:eastAsia="DM Sans" w:hAnsi="DM Sans"/>
      <w:b/>
      <w:bCs/>
      <w:color w:val="14213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2026-08-17T16:28:06.909Z</dcterms:created>
  <dcterms:modified xsi:type="dcterms:W3CDTF">2026-08-17T16:28:06.909Z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