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16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16 — Value model II</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16.1 Waar dit deel over gaat</w:t>
      </w:r>
    </w:p>
    <w:p>
      <w:pPr>
        <w:spacing w:after="160"/>
      </w:pPr>
      <w:r>
        <w:rPr>
          <w:rFonts w:ascii="DM Sans" w:cs="DM Sans" w:eastAsia="DM Sans" w:hAnsi="DM Sans"/>
          <w:color w:val="14213D"/>
          <w:sz w:val="22"/>
          <w:szCs w:val="22"/>
        </w:rPr>
        <w:t xml:space="preserve">Deel 15 gaf de doorlopende praktijk van waarderen, meten en terugkoppelen. Dit deel voegt er vier begrippen aan toe die op portefeuilleniveau spelen — het niveau waarop niet één investering maar het geheel van alle architectuurkeuzes wordt gewogen: technische schuld, investeringsplanning, structurele complexiteit, en risicomethoden. Onderweg introduceren we een begrip dat in deze cursus een dubbele betekenis krijgt, ontleend aan de sector van de casus zelf: dekkingsgraad.</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technische schuld in financiële termen uitleggen aan wie geen ontwikkelaar is;</w:t>
      </w:r>
    </w:p>
    <w:p>
      <w:pPr>
        <w:pStyle w:val="ListParagraph"/>
        <w:numPr>
          <w:ilvl w:val="0"/>
          <w:numId w:val="2"/>
        </w:numPr>
      </w:pPr>
      <w:r>
        <w:rPr>
          <w:rFonts w:ascii="DM Sans" w:cs="DM Sans" w:eastAsia="DM Sans" w:hAnsi="DM Sans"/>
          <w:color w:val="14213D"/>
          <w:sz w:val="22"/>
          <w:szCs w:val="22"/>
        </w:rPr>
        <w:t xml:space="preserve">een investeringsportefeuille van architectuurwerk indelen naar de vier typen uit deel 3, op programmaniveau;</w:t>
      </w:r>
    </w:p>
    <w:p>
      <w:pPr>
        <w:pStyle w:val="ListParagraph"/>
        <w:numPr>
          <w:ilvl w:val="0"/>
          <w:numId w:val="2"/>
        </w:numPr>
      </w:pPr>
      <w:r>
        <w:rPr>
          <w:rFonts w:ascii="DM Sans" w:cs="DM Sans" w:eastAsia="DM Sans" w:hAnsi="DM Sans"/>
          <w:color w:val="14213D"/>
          <w:sz w:val="22"/>
          <w:szCs w:val="22"/>
        </w:rPr>
        <w:t xml:space="preserve">de architectuur-dekkingsgraad van een systeem of programma bepalen;</w:t>
      </w:r>
    </w:p>
    <w:p>
      <w:pPr>
        <w:pStyle w:val="ListParagraph"/>
        <w:numPr>
          <w:ilvl w:val="0"/>
          <w:numId w:val="2"/>
        </w:numPr>
      </w:pPr>
      <w:r>
        <w:rPr>
          <w:rFonts w:ascii="DM Sans" w:cs="DM Sans" w:eastAsia="DM Sans" w:hAnsi="DM Sans"/>
          <w:color w:val="14213D"/>
          <w:sz w:val="22"/>
          <w:szCs w:val="22"/>
        </w:rPr>
        <w:t xml:space="preserve">een risicoregister bijhouden dat kans en impact uit deel 3 op portefeuilleniveau optelt.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16.2 De portefeuillevraag</w:t>
      </w:r>
    </w:p>
    <w:p>
      <w:pPr>
        <w:spacing w:after="160"/>
      </w:pPr>
      <w:r>
        <w:rPr>
          <w:rFonts w:ascii="DM Sans" w:cs="DM Sans" w:eastAsia="DM Sans" w:hAnsi="DM Sans"/>
          <w:color w:val="14213D"/>
          <w:sz w:val="22"/>
          <w:szCs w:val="22"/>
        </w:rPr>
        <w:t xml:space="preserve">Na de presentatie aan de stuurgroep in deel 15 komt er een vervolgvraag, dit keer van Bart Hoekstra zelf: </w:t>
      </w:r>
      <w:r>
        <w:rPr>
          <w:rFonts w:ascii="DM Sans" w:cs="DM Sans" w:eastAsia="DM Sans" w:hAnsi="DM Sans"/>
          <w:i/>
          <w:iCs/>
          <w:color w:val="14213D"/>
          <w:sz w:val="22"/>
          <w:szCs w:val="22"/>
        </w:rPr>
        <w:t xml:space="preserve">"Jullie hebben laten zien wat vijf afgeronde investeringen hebben opgeleverd. Ik wil weten: van alles wat er nog op de lijst staat — vijfendertig punten in totaal — waar moeten we volgend kwartaal ons geld aan uitgeven?"</w:t>
      </w:r>
    </w:p>
    <w:p>
      <w:pPr>
        <w:spacing w:after="80" w:before="200"/>
        <w:jc w:val="center"/>
      </w:pPr>
      <w:r>
        <w:drawing>
          <wp:inline distT="0" distB="0" distL="0" distR="0">
            <wp:extent cx="5715000" cy="3810000"/>
            <wp:effectExtent t="0" r="0" b="0" l="0"/>
            <wp:docPr id="1" name="figuur-16-1" descr="FIGUUR 16-1: een lange, ongesorteerde lijst van vijfendertig openstaande architectuurpunten, met wisselende oorsprong — sommige uit incidenten, sommige uit teamverzoeken, sommige uit de legacytriage van deel 9" title="Figuur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16-1</w:t>
      </w:r>
    </w:p>
    <w:p>
      <w:pPr>
        <w:spacing w:after="160"/>
      </w:pPr>
      <w:r>
        <w:rPr>
          <w:rFonts w:ascii="DM Sans" w:cs="DM Sans" w:eastAsia="DM Sans" w:hAnsi="DM Sans"/>
          <w:color w:val="14213D"/>
          <w:sz w:val="22"/>
          <w:szCs w:val="22"/>
        </w:rPr>
        <w:t xml:space="preserve">Dit is een ander soort vraag dan deel 15 beantwoordde. Deel 15 ging over het verleden — wat is bewezen. Dit deel gaat over de toekomst — hoe kies je uit vijfendertig punten, met een budget dat er niet voor allemaal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16.3 Technische schuld als financieel begrip</w:t>
      </w:r>
    </w:p>
    <w:p>
      <w:pPr>
        <w:spacing w:after="160"/>
      </w:pPr>
      <w:r>
        <w:rPr>
          <w:rFonts w:ascii="DM Sans" w:cs="DM Sans" w:eastAsia="DM Sans" w:hAnsi="DM Sans"/>
          <w:color w:val="14213D"/>
          <w:sz w:val="22"/>
          <w:szCs w:val="22"/>
        </w:rPr>
        <w:t xml:space="preserve">De eerste competentie herformuleert een term die te vaak los van zijn oorspronkelijke betekenis wordt gebruikt. Technische schuld is, zoals de metafoor zelf al zegt, een lening: je neemt nu een snellere, minder volledige oplossing, in ruil voor rente die je later betaalt.</w:t>
      </w:r>
    </w:p>
    <w:p>
      <w:pPr>
        <w:spacing w:after="80" w:before="200"/>
        <w:jc w:val="center"/>
      </w:pPr>
      <w:r>
        <w:drawing>
          <wp:inline distT="0" distB="0" distL="0" distR="0">
            <wp:extent cx="5715000" cy="3810000"/>
            <wp:effectExtent t="0" r="0" b="0" l="0"/>
            <wp:docPr id="1" name="figuur-16-2" descr="FIGUUR 16-2: de schuldmetafoor uitgewerkt — hoofdsom (wat het zou hebben gekost om het meteen goed te doen), rente (extra kosten per periode zolang de schuld openstaat), aflossing (wat het kost om het alsnog goed te doen)" title="Figuur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16-2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Bij het koppelvlak uit niveau 1</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Hoofdsom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het zou hebben gekost om het destijds meteen goed te doen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kosten van een tussenlaag in plaats van puntsgewijze integratie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Rente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extra kosten per periode zolang de schuld openstaat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herstelwerk van 18.000-45.000 euro per jaar (deel 2-3)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Aflossing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het nu kost om het alsnog goed te doen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reparatiekosten die uiteindelijk zijn goedgekeurd</w:t>
            </w:r>
          </w:p>
        </w:tc>
      </w:tr>
    </w:tbl>
    <w:p>
      <w:pPr>
        <w:spacing w:after="160"/>
      </w:pPr>
    </w:p>
    <w:p>
      <w:pPr>
        <w:spacing w:after="160"/>
      </w:pPr>
      <w:r>
        <w:rPr>
          <w:rFonts w:ascii="DM Sans" w:cs="DM Sans" w:eastAsia="DM Sans" w:hAnsi="DM Sans"/>
          <w:b/>
          <w:bCs/>
          <w:color w:val="14213D"/>
          <w:sz w:val="22"/>
          <w:szCs w:val="22"/>
        </w:rPr>
        <w:t xml:space="preserve">Waarom deze metafoor werkt voor een niet-technisch publiek:</w:t>
      </w:r>
      <w:r>
        <w:rPr>
          <w:rFonts w:ascii="DM Sans" w:cs="DM Sans" w:eastAsia="DM Sans" w:hAnsi="DM Sans"/>
          <w:color w:val="14213D"/>
          <w:sz w:val="22"/>
          <w:szCs w:val="22"/>
        </w:rPr>
        <w:t xml:space="preserve"> iedereen begrijpt dat een lening met hoge rente op enig moment duurder is dan direct aflossen. Dat maakt de vraag "waarom lossen we dit niet af" beantwoordbaar in dezelfde taal als een financiële beslissing, in plaats van als een technisch verzoek dat op gevoel wordt beoordeeld.</w:t>
      </w:r>
    </w:p>
    <w:p>
      <w:pPr>
        <w:spacing w:after="160"/>
      </w:pPr>
      <w:r>
        <w:rPr>
          <w:rFonts w:ascii="DM Sans" w:cs="DM Sans" w:eastAsia="DM Sans" w:hAnsi="DM Sans"/>
          <w:b/>
          <w:bCs/>
          <w:color w:val="14213D"/>
          <w:sz w:val="22"/>
          <w:szCs w:val="22"/>
        </w:rPr>
        <w:t xml:space="preserve">De valkuil: niet alle technische schuld is slecht.</w:t>
      </w:r>
      <w:r>
        <w:rPr>
          <w:rFonts w:ascii="DM Sans" w:cs="DM Sans" w:eastAsia="DM Sans" w:hAnsi="DM Sans"/>
          <w:color w:val="14213D"/>
          <w:sz w:val="22"/>
          <w:szCs w:val="22"/>
        </w:rPr>
        <w:t xml:space="preserve"> Een lening afsluiten om een deadline te halen, met een bewust plan om af te lossen, is een legitieme financiële keuze — precies zoals het koppelvlak destijds onder tijdsdruk werd gebouwd (deel 7, het gereconstrueerde besluit). Het probleem ontstaat pas wanneer niemand weet dat de lening bestaat, of wanneer de rente jarenlang doorloopt zonder ooit te worden afgelost.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16.4 Investeringsplanning op portefeuilleniveau</w:t>
      </w:r>
    </w:p>
    <w:p>
      <w:pPr>
        <w:spacing w:after="160"/>
      </w:pPr>
      <w:r>
        <w:rPr>
          <w:rFonts w:ascii="DM Sans" w:cs="DM Sans" w:eastAsia="DM Sans" w:hAnsi="DM Sans"/>
          <w:color w:val="14213D"/>
          <w:sz w:val="22"/>
          <w:szCs w:val="22"/>
        </w:rPr>
        <w:t xml:space="preserve">De tweede competentie schaalt de vier investeringstypen uit deel 3 (renderend, beschermend, verplicht, optiescheppend) op naar een complete lijst in plaats van één beslissing tegelijk.</w:t>
      </w:r>
    </w:p>
    <w:p>
      <w:pPr>
        <w:spacing w:after="80" w:before="200"/>
        <w:jc w:val="center"/>
      </w:pPr>
      <w:r>
        <w:drawing>
          <wp:inline distT="0" distB="0" distL="0" distR="0">
            <wp:extent cx="5715000" cy="3810000"/>
            <wp:effectExtent t="0" r="0" b="0" l="0"/>
            <wp:docPr id="1" name="figuur-16-3" descr="FIGUUR 16-3: de vijfendertig punten uit 16.2, hergroepeerd in vier kolommen naar type, met per kolom een streefverhouding van het beschikbare budget" title="Figuur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16-3</w:t>
      </w:r>
    </w:p>
    <w:p>
      <w:pPr>
        <w:spacing w:after="160"/>
      </w:pPr>
      <w:r>
        <w:rPr>
          <w:rFonts w:ascii="DM Sans" w:cs="DM Sans" w:eastAsia="DM Sans" w:hAnsi="DM Sans"/>
          <w:b/>
          <w:bCs/>
          <w:color w:val="14213D"/>
          <w:sz w:val="22"/>
          <w:szCs w:val="22"/>
        </w:rPr>
        <w:t xml:space="preserve">Het instrument: de investeringsportefeuille.</w:t>
      </w:r>
      <w:r>
        <w:rPr>
          <w:rFonts w:ascii="DM Sans" w:cs="DM Sans" w:eastAsia="DM Sans" w:hAnsi="DM Sans"/>
          <w:color w:val="14213D"/>
          <w:sz w:val="22"/>
          <w:szCs w:val="22"/>
        </w:rPr>
        <w:t xml:space="preserve"> Voor elk van de vijfendertig punten: welk type is het, en wat is de bandbreedte van de waardering (deel 3)? Vervolgens verdeel je het beschikbare budget niet gelijk over alle punten, maar naar een bewuste verdeling over de vier typen.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Kenmerk van een gezonde verdeling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Risico bij verwaarlozing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Verplicht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afgehandeld, geen discussie over of, wel over hoe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boetes, het niet meer kunnen opereren binnen de vergunning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Beschermend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vast percentage van het budget, ook als er dit kwartaal geen incident is geweest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"stille" risico dat pas zichtbaar wordt bij een calamiteit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Renderend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grootste deel, met de kortste terugverdientijden eerst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 dit is meestal vanzelf de focus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Optiescheppend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klein, bewust gereserveerd deel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organisatie die alleen op renderend stuurt, verliest op termijn haar vermogen om te reageren op onvoorziene kansen</w:t>
            </w:r>
          </w:p>
        </w:tc>
      </w:tr>
    </w:tbl>
    <w:p>
      <w:pPr>
        <w:spacing w:after="160"/>
      </w:pPr>
    </w:p>
    <w:p>
      <w:pPr>
        <w:spacing w:after="160"/>
      </w:pPr>
      <w:r>
        <w:rPr>
          <w:rFonts w:ascii="DM Sans" w:cs="DM Sans" w:eastAsia="DM Sans" w:hAnsi="DM Sans"/>
          <w:color w:val="14213D"/>
          <w:sz w:val="22"/>
          <w:szCs w:val="22"/>
        </w:rPr>
        <w:t xml:space="preserve">De vijfendertig punten van Mutatieplatform blijken, na indeling, voor tweeëntwintig renderend te zijn, acht beschermend, drie verplicht, en twee optiescheppend. Zonder deze indeling zou het budget waarschijnlijk vrijwel volledig naar renderende punten zijn gegaan — ze zijn het makkelijkst te verdedigen — met als gevolg dat de drie verplichte punten (waaronder een rapportageverplichting aan de toezichthouder met een harde deadline) buiten beeld waren gebleven.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16.5 Structurele complexiteit</w:t>
      </w:r>
    </w:p>
    <w:p>
      <w:pPr>
        <w:spacing w:after="160"/>
      </w:pPr>
      <w:r>
        <w:rPr>
          <w:rFonts w:ascii="DM Sans" w:cs="DM Sans" w:eastAsia="DM Sans" w:hAnsi="DM Sans"/>
          <w:color w:val="14213D"/>
          <w:sz w:val="22"/>
          <w:szCs w:val="22"/>
        </w:rPr>
        <w:t xml:space="preserve">De derde competentie meet iets dat zelden expliciet wordt gemaakt: hoeveel onderlinge afhankelijkheden een systeem of architectuur heeft, los van de grootte ervan.</w:t>
      </w:r>
    </w:p>
    <w:p>
      <w:pPr>
        <w:spacing w:after="80" w:before="200"/>
        <w:jc w:val="center"/>
      </w:pPr>
      <w:r>
        <w:drawing>
          <wp:inline distT="0" distB="0" distL="0" distR="0">
            <wp:extent cx="5715000" cy="3810000"/>
            <wp:effectExtent t="0" r="0" b="0" l="0"/>
            <wp:docPr id="1" name="figuur-16-4" descr="FIGUUR 16-4: twee systemen van vergelijkbare omvang naast elkaar — één met weinig kruisverbindingen tussen onderdelen, één met veel — met bij het tweede de wijzigingskosten zichtbaar hoger" title="Figuur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16-4</w:t>
      </w:r>
    </w:p>
    <w:p>
      <w:pPr>
        <w:spacing w:after="160"/>
      </w:pPr>
      <w:r>
        <w:rPr>
          <w:rFonts w:ascii="DM Sans" w:cs="DM Sans" w:eastAsia="DM Sans" w:hAnsi="DM Sans"/>
          <w:color w:val="14213D"/>
          <w:sz w:val="22"/>
          <w:szCs w:val="22"/>
        </w:rPr>
        <w:t xml:space="preserve">Een systeem kan groot zijn en toch eenvoudig te wijzigen, als de onderdelen weinig van elkaar afhangen. Een klein systeem kan buitengewoon lastig te wijzigen zijn als alles met alles verbonden is. Bij Mutatieplatform blijkt het koppelvlak met de toezichthouder — klein in omvang — de hoogste structurele complexiteit te hebben: elke wijziging raakt drie andere systemen tegelijk, wat verklaart waarom dat team in cycli van zes weken werkt (deel 14).</w:t>
      </w:r>
    </w:p>
    <w:p>
      <w:pPr>
        <w:spacing w:after="160"/>
      </w:pPr>
      <w:r>
        <w:rPr>
          <w:rFonts w:ascii="DM Sans" w:cs="DM Sans" w:eastAsia="DM Sans" w:hAnsi="DM Sans"/>
          <w:b/>
          <w:bCs/>
          <w:color w:val="14213D"/>
          <w:sz w:val="22"/>
          <w:szCs w:val="22"/>
        </w:rPr>
        <w:t xml:space="preserve">De praktische vraag: als je één ding in dit systeem wijzigt, hoeveel andere dingen moet je dan meenemen?</w:t>
      </w:r>
      <w:r>
        <w:rPr>
          <w:rFonts w:ascii="DM Sans" w:cs="DM Sans" w:eastAsia="DM Sans" w:hAnsi="DM Sans"/>
          <w:color w:val="14213D"/>
          <w:sz w:val="22"/>
          <w:szCs w:val="22"/>
        </w:rPr>
        <w:t xml:space="preserve"> Een hoog antwoord is geen doodvonnis, maar wel een reden om extra tijd en zorgvuldigheid in te plannen — precies zoals het toezichthouderteam al onbewust deed.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16.6 De architectuur-dekkingsgraad</w:t>
      </w:r>
    </w:p>
    <w:p>
      <w:pPr>
        <w:spacing w:after="160"/>
      </w:pPr>
      <w:r>
        <w:rPr>
          <w:rFonts w:ascii="DM Sans" w:cs="DM Sans" w:eastAsia="DM Sans" w:hAnsi="DM Sans"/>
          <w:color w:val="14213D"/>
          <w:sz w:val="22"/>
          <w:szCs w:val="22"/>
        </w:rPr>
        <w:t xml:space="preserve">Hier introduceren we een begrip met een dubbele betekenis, bewust gekozen omdat het bij Meridiaan onmiddellijk resoneert. In de pensioensector betekent dekkingsgraad: de verhouding tussen wat een fonds bezit en wat het aan verplichtingen heeft — hoeveel van de beloofde pensioenen daadwerkelijk gedekt is door vermogen.</w:t>
      </w:r>
    </w:p>
    <w:p>
      <w:pPr>
        <w:spacing w:after="160"/>
      </w:pPr>
      <w:r>
        <w:rPr>
          <w:rFonts w:ascii="DM Sans" w:cs="DM Sans" w:eastAsia="DM Sans" w:hAnsi="DM Sans"/>
          <w:b/>
          <w:bCs/>
          <w:color w:val="14213D"/>
          <w:sz w:val="22"/>
          <w:szCs w:val="22"/>
        </w:rPr>
        <w:t xml:space="preserve">De architectuur-dekkingsgraad werkt volgens hetzelfde principe, toegepast op risico in plaats van op geld:</w:t>
      </w:r>
      <w:r>
        <w:rPr>
          <w:rFonts w:ascii="DM Sans" w:cs="DM Sans" w:eastAsia="DM Sans" w:hAnsi="DM Sans"/>
          <w:color w:val="14213D"/>
          <w:sz w:val="22"/>
          <w:szCs w:val="22"/>
        </w:rPr>
        <w:t xml:space="preserve"> hoeveel van wat er potentieel mis kan gaan, is daadwerkelijk gedekt door een expliciet besluit, een geteste maatregel, of vastgelegde documentatie — tegenover hoeveel er "op vertrouwen" draait.</w:t>
      </w:r>
    </w:p>
    <w:p>
      <w:pPr>
        <w:spacing w:after="80" w:before="200"/>
        <w:jc w:val="center"/>
      </w:pPr>
      <w:r>
        <w:drawing>
          <wp:inline distT="0" distB="0" distL="0" distR="0">
            <wp:extent cx="5715000" cy="3810000"/>
            <wp:effectExtent t="0" r="0" b="0" l="0"/>
            <wp:docPr id="1" name="figuur-16-5" descr="FIGUUR 16-5: de dekkingsgraadformule naast de pensioenanalogie — &quot;bezit&quot; wordt &quot;gedekt risico&quot; (besluiten, tests, documentatie), &quot;verplichtingen&quot; wordt &quot;totaal risico&quot; (alle geïdentificeerde risicopunten)" title="Figuur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16-5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Pensioendekkingsgraad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Architectuur-dekkingsgraad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Bezit ÷ verplichtingen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Gedekt risico ÷ totaal risico</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Boven 100%: het fonds kan aan zijn verplichtingen voldoen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Boven een gekozen streefwaarde: de organisatie kan de meeste risico's aantoonbaar beheersen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 100%: er is een tekort dat ooit voelbaar wordt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 de streefwaarde: er draait risico op vertrouwen dat ooit een incident wordt</w:t>
            </w:r>
          </w:p>
        </w:tc>
      </w:tr>
    </w:tbl>
    <w:p>
      <w:pPr>
        <w:spacing w:after="160"/>
      </w:pPr>
    </w:p>
    <w:p>
      <w:pPr>
        <w:spacing w:after="160"/>
      </w:pPr>
      <w:r>
        <w:rPr>
          <w:rFonts w:ascii="DM Sans" w:cs="DM Sans" w:eastAsia="DM Sans" w:hAnsi="DM Sans"/>
          <w:color w:val="14213D"/>
          <w:sz w:val="22"/>
          <w:szCs w:val="22"/>
        </w:rPr>
        <w:t xml:space="preserve">Toegepast op Mutatieplatform: van de vijf breukpunten uit de klantreiskaart (deel 12) zijn er drie gedekt door een expliciete afspraak of test; twee draaien nog op vertrouwen dat het wel goed komt. Dat is een dekkingsgraad van zestig procent op dat specifieke risico-onderdeel — een getal dat, net als bij een pensioenfonds, een concreet gesprek met het bestuur waard is.</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Waarom deze analogie meer is dan een woordgrapje.</w:t>
      </w:r>
      <w:r>
        <w:rPr>
          <w:rFonts w:ascii="DM Sans" w:cs="DM Sans" w:eastAsia="DM Sans" w:hAnsi="DM Sans"/>
          <w:i/>
          <w:iCs/>
          <w:color w:val="14213D"/>
          <w:sz w:val="22"/>
          <w:szCs w:val="22"/>
        </w:rPr>
        <w:t xml:space="preserve"> Bij Meridiaan is dekkingsgraad al een vertrouwd, serieus genomen begrip — het bepaalt daadwerkelijk beleid en wordt door de toezichthouder gevolgd. Door hetzelfde woord voor architectuurrisico te gebruiken, wordt de vraag "hoe dekt onze architectuur onze risico's" net zo serieus behandeld als de vraag naar de financiële dekkingsgraad — in plaats van als een technisch detail.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16.7 Risicomethoden op portefeuilleniveau</w:t>
      </w:r>
    </w:p>
    <w:p>
      <w:pPr>
        <w:spacing w:after="160"/>
      </w:pPr>
      <w:r>
        <w:rPr>
          <w:rFonts w:ascii="DM Sans" w:cs="DM Sans" w:eastAsia="DM Sans" w:hAnsi="DM Sans"/>
          <w:color w:val="14213D"/>
          <w:sz w:val="22"/>
          <w:szCs w:val="22"/>
        </w:rPr>
        <w:t xml:space="preserve">De laatste competentie schaalt de risicomatrix uit deel 3 (kans × impact) op naar een register dat over alle vijfendertig punten heen kan worden vergeleken.</w:t>
      </w:r>
    </w:p>
    <w:p>
      <w:pPr>
        <w:spacing w:after="80" w:before="200"/>
        <w:jc w:val="center"/>
      </w:pPr>
      <w:r>
        <w:drawing>
          <wp:inline distT="0" distB="0" distL="0" distR="0">
            <wp:extent cx="5715000" cy="3810000"/>
            <wp:effectExtent t="0" r="0" b="0" l="0"/>
            <wp:docPr id="1" name="figuur-16-6" descr="FIGUUR 16-6: een risicoregister met alle geïdentificeerde risico's, gesorteerd op kans × impact, met de architectuur-dekkingsgraad als extra kolom" title="Figuur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16-6</w:t>
      </w:r>
    </w:p>
    <w:p>
      <w:pPr>
        <w:spacing w:after="160"/>
      </w:pPr>
      <w:r>
        <w:rPr>
          <w:rFonts w:ascii="DM Sans" w:cs="DM Sans" w:eastAsia="DM Sans" w:hAnsi="DM Sans"/>
          <w:b/>
          <w:bCs/>
          <w:color w:val="14213D"/>
          <w:sz w:val="22"/>
          <w:szCs w:val="22"/>
        </w:rPr>
        <w:t xml:space="preserve">Het instrument: het risicoregister.</w:t>
      </w:r>
      <w:r>
        <w:rPr>
          <w:rFonts w:ascii="DM Sans" w:cs="DM Sans" w:eastAsia="DM Sans" w:hAnsi="DM Sans"/>
          <w:color w:val="14213D"/>
          <w:sz w:val="22"/>
          <w:szCs w:val="22"/>
        </w:rPr>
        <w:t xml:space="preserve"> Voor elk risico: kans, impact, of het gedekt is (16.6), en — als het nog niet gedekt is — wat het zou kosten om het te dekken. Dit is geen nieuw instrument maar de optelling van de risicomatrix uit deel 3 over de hele portefeuille, gesorteerd zodat het bestuur in één oogopslag ziet waar de grootste ongedekte risico's zitten.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16.8 Het antwoord op de portefeuillevraag</w:t>
      </w:r>
    </w:p>
    <w:p>
      <w:pPr>
        <w:spacing w:after="160"/>
      </w:pPr>
      <w:r>
        <w:rPr>
          <w:rFonts w:ascii="DM Sans" w:cs="DM Sans" w:eastAsia="DM Sans" w:hAnsi="DM Sans"/>
          <w:color w:val="14213D"/>
          <w:sz w:val="22"/>
          <w:szCs w:val="22"/>
        </w:rPr>
        <w:t xml:space="preserve">Claudette presenteert Bart geen ranglijst van vijfendertig punten maar vier categorieën: verplicht (drie punten, geen discussie), beschermend (acht punten, met de architectuur-dekkingsgraad per risicogebied erbij), renderend (tweeëntwintig punten, gesorteerd op terugverdientijd), en optiescheppend (twee punten, met een korte motivering waarom ze de moeite waard zijn ondanks een onzekere terugverdientijd).</w:t>
      </w:r>
    </w:p>
    <w:p>
      <w:pPr>
        <w:spacing w:after="160"/>
      </w:pPr>
      <w:r>
        <w:rPr>
          <w:rFonts w:ascii="DM Sans" w:cs="DM Sans" w:eastAsia="DM Sans" w:hAnsi="DM Sans"/>
          <w:color w:val="14213D"/>
          <w:sz w:val="22"/>
          <w:szCs w:val="22"/>
        </w:rPr>
        <w:t xml:space="preserve">Bart's reactie is kort: </w:t>
      </w:r>
      <w:r>
        <w:rPr>
          <w:rFonts w:ascii="DM Sans" w:cs="DM Sans" w:eastAsia="DM Sans" w:hAnsi="DM Sans"/>
          <w:i/>
          <w:iCs/>
          <w:color w:val="14213D"/>
          <w:sz w:val="22"/>
          <w:szCs w:val="22"/>
        </w:rPr>
        <w:t xml:space="preserve">"Nu kan ik hier iets mee."</w:t>
      </w:r>
      <w:r>
        <w:rPr>
          <w:rFonts w:ascii="DM Sans" w:cs="DM Sans" w:eastAsia="DM Sans" w:hAnsi="DM Sans"/>
          <w:color w:val="14213D"/>
          <w:sz w:val="22"/>
          <w:szCs w:val="22"/>
        </w:rPr>
        <w:t xml:space="preserve"> Niet omdat het aantal punten is afgenomen, maar omdat de structuur waarin ze worden gepresenteerd aansluit op hoe hij al gewend is te denken over risico en rendement — de taal van dekkingsgraad, niet de taal van een backlog.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16.9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Technische schuld als lening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hoofdsom (wat het had moeten kosten), rente (doorlopende extra kosten), aflossing (wat alsnog goedmaken kost)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Investeringsportefeuille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vier typen uit deel 3, toegepast op een complete lijst met een bewuste budgetverdeling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Structurele complexiteit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hoeveel andere onderdelen je moet meenemen als je één ding wijzigt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Architectuur-dekkingsgraad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gedekt risico gedeeld door totaal risico — hoeveel draait op een expliciet besluit versus op vertrouwen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Risicoregister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risicomatrix uit deel 3, opgeteld over een hele portefeuille en gesorteerd op urgentie</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17 — Operating model I. Besluiten, ontwerp, patronen en stakeholders, nu als doorlopend operationeel ritme in plaats van eenmalige instrumenten.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6d17282e766ba103eab194d53ad79cbb5f38d9.png"/><Relationship Id="rId10" Type="http://schemas.openxmlformats.org/officeDocument/2006/relationships/image" Target="media/1ff22b14579d694af6470da3bb38d885009054c9.png"/><Relationship Id="rId11" Type="http://schemas.openxmlformats.org/officeDocument/2006/relationships/image" Target="media/869b281509d83ae998ec846e479316ad0e6390ee.png"/><Relationship Id="rId12" Type="http://schemas.openxmlformats.org/officeDocument/2006/relationships/image" Target="media/23094eaaf3df81291301f2d3af7f5cc9709aa87f.png"/><Relationship Id="rId13" Type="http://schemas.openxmlformats.org/officeDocument/2006/relationships/image" Target="media/9bb47ee24decb808ece43d1686cd7262dba83608.png"/><Relationship Id="rId14" Type="http://schemas.openxmlformats.org/officeDocument/2006/relationships/image" Target="media/b739cf5da9fb5f58ecd415a4fa4c8097e1ab479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2026-08-17T16:28:07.517Z</dcterms:created>
  <dcterms:modified xsi:type="dcterms:W3CDTF">2026-08-17T16:28:07.517Z</dcterms:modified>
</cp:coreProperties>
</file>

<file path=docProps/custom.xml><?xml version="1.0" encoding="utf-8"?>
<Properties xmlns="http://schemas.openxmlformats.org/officeDocument/2006/custom-properties" xmlns:vt="http://schemas.openxmlformats.org/officeDocument/2006/docPropsVTypes"/>
</file>