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DM Sans" w:cs="DM Sans" w:eastAsia="DM Sans" w:hAnsi="DM Sans"/>
          <w:b/>
          <w:bCs/>
          <w:color w:val="9A5F0D"/>
          <w:spacing w:val="40"/>
          <w:sz w:val="24"/>
          <w:szCs w:val="24"/>
        </w:rPr>
        <w:t xml:space="preserve">DUCTUS</w:t>
      </w:r>
    </w:p>
    <w:p>
      <w:pPr>
        <w:spacing w:before="4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14213D"/>
          <w:sz w:val="64"/>
          <w:szCs w:val="64"/>
        </w:rPr>
        <w:t xml:space="preserve">Deel 19 — Docentenhandleiding</w:t>
      </w:r>
    </w:p>
    <w:p>
      <w:pPr>
        <w:spacing w:after="800" w:before="200"/>
        <w:jc w:val="center"/>
      </w:pPr>
      <w:r>
        <w:rPr>
          <w:rFonts w:ascii="DM Sans" w:cs="DM Sans" w:eastAsia="DM Sans" w:hAnsi="DM Sans"/>
          <w:color w:val="55606F"/>
          <w:sz w:val="26"/>
          <w:szCs w:val="26"/>
        </w:rPr>
        <w:t xml:space="preserve">Niveau 2 · BTABoK</w:t>
      </w:r>
    </w:p>
    <w:p>
      <w:r>
        <w:br w:type="page"/>
      </w:r>
    </w:p>
    <w:p>
      <w:pPr>
        <w:pStyle w:val="Heading1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19 — Governance en roadmap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Niveau 2 — Engagement, waarde en specialisatie | Docentenhandleiding</w:t>
      </w:r>
    </w:p>
    <w:p>
      <w:pPr>
        <w:spacing w:after="200"/>
        <w:jc w:val="center"/>
      </w:pPr>
      <w:r>
        <w:rPr>
          <w:rFonts w:ascii="DM Sans" w:cs="DM Sans" w:eastAsia="DM Sans" w:hAnsi="DM Sans"/>
          <w:i/>
          <w:iCs/>
          <w:color w:val="55606F"/>
          <w:sz w:val="22"/>
          <w:szCs w:val="22"/>
        </w:rPr>
        <w:t xml:space="preserve">BTABoK-cursus, Ductus — twee dagdelen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1. Wat dit deel moet doen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het inhoudelijke hoogtepunt van niveau 2 — behandel het ook zo.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 1 kondigde de spanning tussen "bouw dingen, bestuur geen dingen" en een architectuurgremium in een gereguleerde sector aan. Deel 9 gaf een werkbaar tussenonderscheid. Dit deel lost de spanning definitief op. Markeer dat moment expliciet wanneer het in 19.3 valt — het is de bekroning van een lijn die door de hele cursus loopt.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Hoofddoel: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deelnemers moeten het product-versus-projectonderscheid kunnen toepassen op hun eigen organisatie, en een roadmap kunnen bouwen die daadwerkelijk drie horizonnen met afnemende zekerheid bevat, niet een verkapte planning.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2. Tijdsindeling — twee dagdelen (elk 4 uur)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Dagdeel A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gebeurt er als het programma stopt?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verhaal + slides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0:15 – 0:20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Aankondiging: dit deel lost de deel-1-spanning definitief op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0:20 – 0:45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Product versus project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0:45 – 1:05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1 — product of project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1:05 – 1:25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1 — </w:t>
            </w:r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het scharnier van dagdeel A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1:25 – 1:40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1:40 – 2:05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 roadmap: drie horizonnen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2:05 – 2:40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2 — de roadmapkaart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tweetallen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2:40 – 3:00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2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3:00 – 4:00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Ruimte voor verdieping / vragen; korte introductie experimenten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Dagdeel B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Tijd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Onderdeel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Vorm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0:00 – 0:20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Experimenten, uitgewerkt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0:20 – 0:45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3 — de experimentkaart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individueel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0:45 – 1:05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Nabespreking opdracht 3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1:05 – 1:20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1:20 – 1:45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Het nieuwe governancemodel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1:45 – 2:15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14213D"/>
                <w:sz w:val="22"/>
                <w:szCs w:val="22"/>
              </w:rPr>
              <w:t xml:space="preserve">Opdracht 4 — het lichte charter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groepen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2:15 – 2:45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Presentaties per groep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2:45 – 3:00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i/>
                <w:iCs/>
                <w:color w:val="14213D"/>
                <w:sz w:val="22"/>
                <w:szCs w:val="22"/>
              </w:rPr>
              <w:t xml:space="preserve">Pauze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3:00 – 3:25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Wat deze twee dagdelen hebben opgeleverd; terugblik op deel 1 en 9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3:25 – 3:40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Vooruitblik deel 20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plenair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 Per onderdeel: aanpak en valkuilen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3.1 Product versus project (0:20 – 1:25, dagdeel A) — het scharnier van dagdeel A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Dit is het belangrijkste conceptuele moment van de hele cursus tot nu toe.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Geef het ruimte. Laat de zaal eerst zelf proberen te formuleren waarom de twee kampen uit 19.2 langs elkaar heen praten, vóórdat je het onderscheid zelf presenteert — de "aha" landt sterker als de zaal er (deels) zelf op komt.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bij opdracht 1 dat een aanzienlijk deel van de "producten" van deelnemers geen duidelijke doorlopende governance blijkt te hebben.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Dat is precies de bevinding die het onderscheid moet opleveren, en het is een sterk aanknopingspunt voor de nabespreking: hoeveel van jullie eigen systemen zwerven rond zonder iemand die de kaders bewaakt?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3.2 De roadmap en opdracht 2 (1:40 – 3:00, dagdeel A)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Verwacht dat groepen bij opdracht 2 bijna alles in de vastgelegde horizon plaatsen.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Dit is een zeer voorspelbaar patroon — mensen vinden het moeilijk om iets als "richtinggevend" of "denkbaar" te durven noteren, uit angst dat het dan niet serieus wordt genomen. Normaliseer dit expliciet: een roadmap die alleen zekerheden bevat, is geen roadmap.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3.3 Experimenten en opdracht 3 (dagdeel B, 0:00 – 1:05)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Het succescriterium is opnieuw de lastigste stap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, net als de sfeerbeeld-naar-getal-oefening in deel 8. Duw actief door tot er een concreet getal ligt.</w:t>
      </w:r>
    </w:p>
    <w:p>
      <w:pPr>
        <w:pStyle w:val="Heading3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3.4 Het lichte charter en opdracht 4 (1:20 – 2:45, dagdeel B)</w:t>
      </w:r>
    </w:p>
    <w:p>
      <w:pPr>
        <w:spacing w:after="160"/>
      </w:pPr>
      <w:r>
        <w:rPr>
          <w:rFonts w:ascii="DM Sans" w:cs="DM Sans" w:eastAsia="DM Sans" w:hAnsi="DM Sans"/>
          <w:b/>
          <w:bCs/>
          <w:color w:val="14213D"/>
          <w:sz w:val="22"/>
          <w:szCs w:val="22"/>
        </w:rPr>
        <w:t xml:space="preserve">Bewaak dat groepen het charter klein houden.</w:t>
      </w:r>
      <w:r>
        <w:rPr>
          <w:rFonts w:ascii="DM Sans" w:cs="DM Sans" w:eastAsia="DM Sans" w:hAnsi="DM Sans"/>
          <w:color w:val="14213D"/>
          <w:sz w:val="22"/>
          <w:szCs w:val="22"/>
        </w:rPr>
        <w:t xml:space="preserve"> De neiging is om, eenmaal aan het ontwerpen van een governancemodel, toch weer een uitgebreider goedkeuringsproces te introduceren "voor de zekerheid." Herinner aan de kern van dit deel: een lichte, kwartaalgebonden functie die kaders en roadmap bewaakt, niets meer.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4. Beoordeling en dossiervorming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Wat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 bewaard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shd w:fill="1421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/>
                <w:bCs/>
                <w:color w:val="FFFFFF"/>
                <w:sz w:val="22"/>
                <w:szCs w:val="22"/>
              </w:rPr>
              <w:t xml:space="preserve">Waarvoor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Roadmapkaart (opdracht 2)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referentie voor deel 22 (examentraining CITA-A)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Experimentkaart (opdracht 3)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direct toepasbaar</w:t>
            </w:r>
          </w:p>
        </w:tc>
      </w:tr>
      <w:tr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Lichte charter (opdracht 4)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deelnemersmap</w:t>
            </w:r>
          </w:p>
        </w:tc>
        <w:tc>
          <w:tcPr>
            <w:tcW w:type="dxa" w:w="3024"/>
            <w:tcBorders>
              <w:top w:val="single" w:color="DFDCD3" w:sz="2"/>
              <w:left w:val="single" w:color="DFDCD3" w:sz="2"/>
              <w:bottom w:val="single" w:color="DFDCD3" w:sz="2"/>
              <w:right w:val="single" w:color="DFDCD3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color w:val="14213D"/>
                <w:sz w:val="22"/>
                <w:szCs w:val="22"/>
              </w:rPr>
              <w:t xml:space="preserve">kern van het portfolio voor CITA-A</w:t>
            </w:r>
          </w:p>
        </w:tc>
      </w:tr>
    </w:tbl>
    <w:p>
      <w:pPr>
        <w:spacing w:after="160"/>
      </w:pP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5. Benodigdheden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Groot vel of digitaal whiteboard voor de roadmapkaart</w:t>
      </w:r>
    </w:p>
    <w:p>
      <w:pPr>
        <w:pBdr>
          <w:bottom w:val="single" w:color="DFDCD3" w:sz="6" w:space="4"/>
        </w:pBdr>
        <w:spacing w:after="120" w:before="120"/>
      </w:pPr>
    </w:p>
    <w:p>
      <w:pPr>
        <w:pStyle w:val="Heading2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6. Vooruitblik voor de docent</w:t>
      </w:r>
    </w:p>
    <w:p>
      <w:pPr>
        <w:spacing w:after="160"/>
      </w:pPr>
      <w:r>
        <w:rPr>
          <w:rFonts w:ascii="DM Sans" w:cs="DM Sans" w:eastAsia="DM Sans" w:hAnsi="DM Sans"/>
          <w:color w:val="14213D"/>
          <w:sz w:val="22"/>
          <w:szCs w:val="22"/>
        </w:rPr>
        <w:t xml:space="preserve">Deel 20 behandelt architectuurvolwassenheid en is expliciet los aanbiedbaar — een instrument dat ook buiten de doorlopende Mutatieplatform-casus bruikbaar is voor andere klanten. Het introduceert een 5×5-rooster (vijf niveaus, vijf dimensies die de vijf pijlers van niveau 1 hergebruiken). Bereid je voor door de reader van deel 20 door te nemen; dit deel kan, indien gewenst, ook als losstaande workshop worden aangeboden buiten de volledige cursus om.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M Sans" w:cs="DM Sans" w:eastAsia="DM Sans" w:hAnsi="DM Sans"/>
        <w:color w:val="55606F"/>
        <w:sz w:val="16"/>
        <w:szCs w:val="16"/>
      </w:rPr>
      <w:t xml:space="preserve">Pagina </w:t>
    </w:r>
    <w:r>
      <w:rPr>
        <w:rFonts w:ascii="DM Sans" w:cs="DM Sans" w:eastAsia="DM Sans" w:hAnsi="DM Sans"/>
        <w:color w:val="5560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DM Sans" w:cs="DM Sans" w:eastAsia="DM Sans" w:hAnsi="DM Sans"/>
        <w:color w:val="55606F"/>
        <w:sz w:val="16"/>
        <w:szCs w:val="16"/>
      </w:rPr>
      <w:t xml:space="preserve">Ductus — BTABoK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9A13B" w:sz="8" w:space="6"/>
      </w:pBdr>
      <w:spacing w:after="240" w:before="480"/>
      <w:outlineLvl w:val="0"/>
    </w:pPr>
    <w:rPr>
      <w:rFonts w:ascii="Cormorant Garamond" w:cs="Cormorant Garamond" w:eastAsia="Cormorant Garamond" w:hAnsi="Cormorant Garamond"/>
      <w:b/>
      <w:bCs/>
      <w:color w:val="14213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Cormorant Garamond" w:cs="Cormorant Garamond" w:eastAsia="Cormorant Garamond" w:hAnsi="Cormorant Garamond"/>
      <w:b/>
      <w:bCs/>
      <w:color w:val="1B4A8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DM Sans" w:cs="DM Sans" w:eastAsia="DM Sans" w:hAnsi="DM Sans"/>
      <w:b/>
      <w:bCs/>
      <w:color w:val="1421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2026-08-17T16:28:07.951Z</dcterms:created>
  <dcterms:modified xsi:type="dcterms:W3CDTF">2026-08-17T16:28:07.951Z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