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20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— Architectuurvolwassenheid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los aanbiedbaar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deel kan op twee manieren worden ingezet: als onderdeel van de doorlopende cursus, of als losse workshop van één dagdeel voor een klant die niet de volledige cursus afneemt.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Bereid je bij het geven van dit deel voor op beide situaties. Bij een losse workshop: vervang de Meridiaan-casus (20.2 t/m 20.7) waar nuttig door voorbeelden uit de sector van de deelnemende organisatie, maar behoud het rooster (20.3-20.4) ongewijzigd.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hun eigen organisatie of team kunnen positioneren op het 5×5-rooster en, belangrijker, een gerichte investeringskeuze kunnen onderbouwen in plaats van een vage ambitie ("overal beter worden").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vraag van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dimensies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niveaus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rooster invullen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1:35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sprong van 3 naar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gerichte investering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2:25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antwoord aan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(Bij doorlopende cursus) vooruitblik deel 21 — (bij losse workshop) afsluiting en vervolgstappen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Vijf niveaus (0:30 – 0:45)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Benadruk expliciet dat de niveaus generiek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dezelfde ladder geldt voor elke dimensie. Dit voorkomt verwarring bij opdracht 1, waar deelnemers soms per abuis denken dat elke dimensie zijn eigen schaal heeft.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1 en de nabespreking (0:45 – 1:35)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ongelijke scores over de vijf dimensies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en normaliseer dat expliciet in de nabespreking — zie 20.5 in de reader. Een deelnemer die op alles hetzelfde niveau scoort, heeft waarschijnlijk niet scherp genoeg per dimensie gekeken; vraag door.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een losse workshop (geen voorkennis van de rest van de cursus):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leg bij deze opdracht kort uit wat een paar refererende instrumenten uit de reader betekenen (besluitenlogboek, kwaliteitsprofiel, stakeholderkaart) zodat deelnemers zonder cursusachtergrond de voorbeelden kunnen volgen — een korte alinea per instrument volstaat, geen volledige herhaling van de bijbehorende delen.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gerichte investering, opdracht 3 en 4 (2:10 – 3:35)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grootste valkuil hier is een deelnemer die alle vijf dimensies tegelijk wil verbeteren.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wat 20.6 waarschuwt te vermijden. Vraag actief: als je maar één dimensie mocht kiezen voor het komende kwartaal, welke zou dat zijn, en waarom niet een andere?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Volwassenheidsrooster (opdracht 1)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Investeringsvoorstel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bruikbaar richting de eigen organisatie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Rooster-sjabloon op A4 (5 dimensies × 5 niveaus)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een losse workshop: een korte inleiding (10 minuten) over de vijf pijlers uit niveau 1, als de deelnemers die cursusdelen niet hebben gevolgd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behandelt de specialisatiekeuze: de vier andere BTABoK-specialisaties (Business, Information, Infrastructure, Software) naast het Solution-hoofdspoor dat deze cursus tot nu toe heeft gevolgd, en de keuze die elke deelnemer maakt voor het eigen CITA-A-examenspoor. Dit deel is, anders dan deel 20, weer onderdeel van de doorlopende cursusstructuur en vereist de voorkennis van niveau 1 en 2. Bereid je voor door de reader van deel 21 door te nemen.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2026-08-17T16:28:08.091Z</dcterms:created>
  <dcterms:modified xsi:type="dcterms:W3CDTF">2026-08-17T16:28:08.091Z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