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21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21 — Specialisatiekeuze</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21.1 Waar dit deel over gaat</w:t>
      </w:r>
    </w:p>
    <w:p>
      <w:pPr>
        <w:spacing w:after="160"/>
      </w:pPr>
      <w:r>
        <w:rPr>
          <w:rFonts w:ascii="DM Sans" w:cs="DM Sans" w:eastAsia="DM Sans" w:hAnsi="DM Sans"/>
          <w:color w:val="14213D"/>
          <w:sz w:val="22"/>
          <w:szCs w:val="22"/>
        </w:rPr>
        <w:t xml:space="preserve">Deze hele cursus heeft je door het Solution-spoor geleid — de generalistische, meest gangbare specialisatie, waarin je oplossingen ontwerpt die verschillende systemen en teams overspannen. Dat is bewust: Solution is het spoor waarin de meeste architecten hun loopbaan beginnen, en de instrumenten die je hebt geleerd zijn breed toepasbaar.</w:t>
      </w:r>
    </w:p>
    <w:p>
      <w:pPr>
        <w:spacing w:after="160"/>
      </w:pPr>
      <w:r>
        <w:rPr>
          <w:rFonts w:ascii="DM Sans" w:cs="DM Sans" w:eastAsia="DM Sans" w:hAnsi="DM Sans"/>
          <w:color w:val="14213D"/>
          <w:sz w:val="22"/>
          <w:szCs w:val="22"/>
        </w:rPr>
        <w:t xml:space="preserve">Maar de BoK kent vier andere specialisaties: Business, Information, Infrastructure, en Software. Voor CITA-A moet je één spoor kiezen om in te verdiepen. Dit deel legt uit wat elk spoor anders maakt, zodat die keuze weloverwogen is in plaats van toevallig.</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de vier andere specialisaties onderscheiden van Solution en van elkaar;</w:t>
      </w:r>
    </w:p>
    <w:p>
      <w:pPr>
        <w:pStyle w:val="ListParagraph"/>
        <w:numPr>
          <w:ilvl w:val="0"/>
          <w:numId w:val="2"/>
        </w:numPr>
      </w:pPr>
      <w:r>
        <w:rPr>
          <w:rFonts w:ascii="DM Sans" w:cs="DM Sans" w:eastAsia="DM Sans" w:hAnsi="DM Sans"/>
          <w:color w:val="14213D"/>
          <w:sz w:val="22"/>
          <w:szCs w:val="22"/>
        </w:rPr>
        <w:t xml:space="preserve">bepalen welk spoor aansluit bij je eigen dagelijkse werk, aan de hand van een concreet toetsingskader;</w:t>
      </w:r>
    </w:p>
    <w:p>
      <w:pPr>
        <w:pStyle w:val="ListParagraph"/>
        <w:numPr>
          <w:ilvl w:val="0"/>
          <w:numId w:val="2"/>
        </w:numPr>
      </w:pPr>
      <w:r>
        <w:rPr>
          <w:rFonts w:ascii="DM Sans" w:cs="DM Sans" w:eastAsia="DM Sans" w:hAnsi="DM Sans"/>
          <w:color w:val="14213D"/>
          <w:sz w:val="22"/>
          <w:szCs w:val="22"/>
        </w:rPr>
        <w:t xml:space="preserve">een onderbouwde keuze maken voor je eigen CITA-A-examenspoor.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21.2 Drie architecten, drie sporen</w:t>
      </w:r>
    </w:p>
    <w:p>
      <w:pPr>
        <w:spacing w:after="160"/>
      </w:pPr>
      <w:r>
        <w:rPr>
          <w:rFonts w:ascii="DM Sans" w:cs="DM Sans" w:eastAsia="DM Sans" w:hAnsi="DM Sans"/>
          <w:color w:val="14213D"/>
          <w:sz w:val="22"/>
          <w:szCs w:val="22"/>
        </w:rPr>
        <w:t xml:space="preserve">Nu Mutatieplatform ten einde loopt, moeten Claudette en haar twee collega's ieder een specialisatiespoor kiezen voor hun CITA-A-traject. Ze ontdekken, in het gesprek daarover, dat hun werk van de afgelopen veertien maanden — hoewel ze alle drie "architect" heten — behoorlijk uiteenloopt.</w:t>
      </w:r>
    </w:p>
    <w:p>
      <w:pPr>
        <w:spacing w:after="80" w:before="200"/>
        <w:jc w:val="center"/>
      </w:pPr>
      <w:r>
        <w:drawing>
          <wp:inline distT="0" distB="0" distL="0" distR="0">
            <wp:extent cx="5715000" cy="3810000"/>
            <wp:effectExtent t="0" r="0" b="0" l="0"/>
            <wp:docPr id="1" name="figuur-21-1" descr="FIGUUR 21-1: drie architecten met hun belangrijkste bijdragen aan Mutatieplatform naast elkaar — merkbaar verschillend, ondanks dezelfde functietitel" title="Figuur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21-1</w:t>
      </w:r>
    </w:p>
    <w:p>
      <w:pPr>
        <w:spacing w:after="160"/>
      </w:pPr>
      <w:r>
        <w:rPr>
          <w:rFonts w:ascii="DM Sans" w:cs="DM Sans" w:eastAsia="DM Sans" w:hAnsi="DM Sans"/>
          <w:color w:val="14213D"/>
          <w:sz w:val="22"/>
          <w:szCs w:val="22"/>
        </w:rPr>
        <w:t xml:space="preserve">Claudette heeft het grootste deel van haar tijd besteed aan wat deze cursus heeft gevolgd: klantreizen, koppelvlakken tussen teams, waardestromen — het soort werk dat meerdere systemen en teams overspant. Een van haar collega's bleek zich vooral bezig te houden met de datamodellen achter de simulatievoorziening en de kwaliteit van de gegevens die erin stromen. De andere collega besteedde het meeste van haar tijd aan de infrastructuur waarop de vijf systemen draaien: schaalbaarheid, deployment, de platformkeuzes uit deel 14.</w:t>
      </w:r>
    </w:p>
    <w:p>
      <w:pPr>
        <w:spacing w:after="160"/>
      </w:pPr>
      <w:r>
        <w:rPr>
          <w:rFonts w:ascii="DM Sans" w:cs="DM Sans" w:eastAsia="DM Sans" w:hAnsi="DM Sans"/>
          <w:color w:val="14213D"/>
          <w:sz w:val="22"/>
          <w:szCs w:val="22"/>
        </w:rPr>
        <w:t xml:space="preserve">Geen van de drie deed iets fout — ze deden alle drie waardevol werk, alleen ander werk.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21.3 De vijf specialisaties, kort gekarakteriseerd</w:t>
      </w:r>
    </w:p>
    <w:p>
      <w:pPr>
        <w:spacing w:after="80" w:before="200"/>
        <w:jc w:val="center"/>
      </w:pPr>
      <w:r>
        <w:drawing>
          <wp:inline distT="0" distB="0" distL="0" distR="0">
            <wp:extent cx="5715000" cy="3810000"/>
            <wp:effectExtent t="0" r="0" b="0" l="0"/>
            <wp:docPr id="1" name="figuur-21-2" descr="FIGUUR 21-2: de vijf specialisaties als een wiel rond een gedeelde kern (de vijf pijlers uit niveau 1), elk met een eigen accent" title="Figuur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Specialisatie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het accent ligt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Mutatieplatform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Solution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(gevolgd in deze cursus)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oplossingen die meerdere systemen en teams overspannen; de generalistische, verbindende rol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Claudette's werk: klantreiskaart, koppelvlakken, waardestromen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Business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aansluiting tussen technologie en bedrijfsstrategie; capability-kaarten, verdienmodellen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capability-fit-werk uit deel 13, op een dieper niveau</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Information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gegevens: modellen, kwaliteit, stromen, eigenaarschap van data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collega die zich richtte op de datamodellen van de simulatievoorziening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Infrastructure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technische laag waarop alles draait: platformen, schaalbaarheid, deployment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collega die zich richtte op infrastructuur en platformkeuzes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Software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ontwerp van individuele componenten en code zelf, dieper dan Solution gaat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dichter bij wat de SA-cursus van Ductus behandelt ↗</w:t>
            </w:r>
          </w:p>
        </w:tc>
      </w:tr>
    </w:tbl>
    <w:p>
      <w:pPr>
        <w:spacing w:after="160"/>
      </w:pPr>
    </w:p>
    <w:p>
      <w:pPr>
        <w:spacing w:after="160"/>
      </w:pPr>
      <w:r>
        <w:rPr>
          <w:rFonts w:ascii="DM Sans" w:cs="DM Sans" w:eastAsia="DM Sans" w:hAnsi="DM Sans"/>
          <w:b/>
          <w:bCs/>
          <w:color w:val="14213D"/>
          <w:sz w:val="22"/>
          <w:szCs w:val="22"/>
        </w:rPr>
        <w:t xml:space="preserve">Alle vijf specialisaties gebruiken dezelfde vijf pijlers uit niveau 1</w:t>
      </w:r>
      <w:r>
        <w:rPr>
          <w:rFonts w:ascii="DM Sans" w:cs="DM Sans" w:eastAsia="DM Sans" w:hAnsi="DM Sans"/>
          <w:color w:val="14213D"/>
          <w:sz w:val="22"/>
          <w:szCs w:val="22"/>
        </w:rPr>
        <w:t xml:space="preserve"> — Business Technology Strategy, Human Dynamics, Design, IT Environment, Quality Attributes. Het verschil zit niet in andere kennis, maar in waar je die kennis het vaakst en het diepst op toepast.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21.4 De specialisatie-fit-toets</w:t>
      </w:r>
    </w:p>
    <w:p>
      <w:pPr>
        <w:spacing w:after="160"/>
      </w:pPr>
      <w:r>
        <w:rPr>
          <w:rFonts w:ascii="DM Sans" w:cs="DM Sans" w:eastAsia="DM Sans" w:hAnsi="DM Sans"/>
          <w:color w:val="14213D"/>
          <w:sz w:val="22"/>
          <w:szCs w:val="22"/>
        </w:rPr>
        <w:t xml:space="preserve">Om de keuze concreet te maken, gebruiken we een korte toets die het eigen werkpatroon van de afgelopen periode naast de vijf specialisaties legt.</w:t>
      </w:r>
    </w:p>
    <w:p>
      <w:pPr>
        <w:spacing w:after="80" w:before="200"/>
        <w:jc w:val="center"/>
      </w:pPr>
      <w:r>
        <w:drawing>
          <wp:inline distT="0" distB="0" distL="0" distR="0">
            <wp:extent cx="5715000" cy="3810000"/>
            <wp:effectExtent t="0" r="0" b="0" l="0"/>
            <wp:docPr id="1" name="figuur-21-3" descr="FIGUUR 21-3: de specialisatie-fit-toets als tabel — vraag per specialisatie, met ruimte voor een percentage van de eigen tijd" title="Figuur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21-3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Specialisatie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 om jezelf te toetsen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Solution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van je tijd ging naar het verbinden van meerdere systemen of teams?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van je tijd ging naar het vertalen van bedrijfsstrategie naar technologiekeuzes?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Information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van je tijd ging naar datamodellen, gegevenskwaliteit, of data-eigenaarschap?</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Infrastructure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van je tijd ging naar platformen, schaalbaarheid, of deployment?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Software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van je tijd ging naar het ontwerp van individuele componenten of code?</w:t>
            </w:r>
          </w:p>
        </w:tc>
      </w:tr>
    </w:tbl>
    <w:p>
      <w:pPr>
        <w:spacing w:after="160"/>
      </w:pPr>
    </w:p>
    <w:p>
      <w:pPr>
        <w:spacing w:after="160"/>
      </w:pPr>
      <w:r>
        <w:rPr>
          <w:rFonts w:ascii="DM Sans" w:cs="DM Sans" w:eastAsia="DM Sans" w:hAnsi="DM Sans"/>
          <w:color w:val="14213D"/>
          <w:sz w:val="22"/>
          <w:szCs w:val="22"/>
        </w:rPr>
        <w:t xml:space="preserve">Bij Claudette: Solution 55%, Business 20%, Human Dynamics-achtig werk verspreid over alle sporen, Information 10%, Infrastructure 10%, Software 5%. Het antwoord is voor haar eenduidig. Bij een van haar collega's is de verdeling minder scherp — Information 40%, Solution 35%, de rest verspreid — en dat vraagt een aanvullende vraag.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21.5 Wanneer de keuze niet vanzelf spreekt</w:t>
      </w:r>
    </w:p>
    <w:p>
      <w:pPr>
        <w:spacing w:after="160"/>
      </w:pPr>
      <w:r>
        <w:rPr>
          <w:rFonts w:ascii="DM Sans" w:cs="DM Sans" w:eastAsia="DM Sans" w:hAnsi="DM Sans"/>
          <w:b/>
          <w:bCs/>
          <w:color w:val="14213D"/>
          <w:sz w:val="22"/>
          <w:szCs w:val="22"/>
        </w:rPr>
        <w:t xml:space="preserve">De aanvullende vraag: niet waar ging de meeste tijd naartoe, maar waar wil je de komende jaren dieper in?</w:t>
      </w:r>
      <w:r>
        <w:rPr>
          <w:rFonts w:ascii="DM Sans" w:cs="DM Sans" w:eastAsia="DM Sans" w:hAnsi="DM Sans"/>
          <w:color w:val="14213D"/>
          <w:sz w:val="22"/>
          <w:szCs w:val="22"/>
        </w:rPr>
        <w:t xml:space="preserve"> CITA-A is geen beloning voor wat je toevallig al deed, maar een investering in een richting. Een architect die het grootste deel van haar tijd aan Information besteedde maar liever verder wil in Business, kan die keuze legitiem maken — mits ze zich bewust is dat het CITA-A-traject dan meer nieuwe kennis vergt dan een spoor dat al haar dagelijkse werk is.</w:t>
      </w:r>
    </w:p>
    <w:p>
      <w:pPr>
        <w:spacing w:after="80" w:before="200"/>
        <w:jc w:val="center"/>
      </w:pPr>
      <w:r>
        <w:drawing>
          <wp:inline distT="0" distB="0" distL="0" distR="0">
            <wp:extent cx="5715000" cy="3810000"/>
            <wp:effectExtent t="0" r="0" b="0" l="0"/>
            <wp:docPr id="1" name="figuur-21-4" descr="FIGUUR 21-4: twee assen — huidige ervaring en gewenste richting — met vier kwadranten en een aanbeveling per kwadrant" title="Figuur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21-4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Gewenste richting: zelfde spoor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Gewenste richting: ander spoor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Veel ervaring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duidelijke keuze, weinig 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mogelijk, vergt bewuste inhaalslag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Weinig ervaring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onwaarschijnlijk scenario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investering, geen bevestiging — plan extra tijd in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21.6 De keuzes van de drie architecten</w:t>
      </w:r>
    </w:p>
    <w:p>
      <w:pPr>
        <w:spacing w:after="160"/>
      </w:pPr>
      <w:r>
        <w:rPr>
          <w:rFonts w:ascii="DM Sans" w:cs="DM Sans" w:eastAsia="DM Sans" w:hAnsi="DM Sans"/>
          <w:color w:val="14213D"/>
          <w:sz w:val="22"/>
          <w:szCs w:val="22"/>
        </w:rPr>
        <w:t xml:space="preserve">Claudette kiest Solution — een bevestiging van waar deze hele cursus haar al in heeft getraind, niet een nieuwe richting. Haar collega met de datamodel-achtergrond kiest, na de aanvullende vraag, toch voor Information: ze wil dieper in het vak waarin ze zich toevallig al had gespecialiseerd, en herkent dat als een bewuste keuze, niet als toeval. De derde collega kiest Infrastructure, eveneens een bevestiging van haar bestaande werk.</w:t>
      </w:r>
    </w:p>
    <w:p>
      <w:pPr>
        <w:spacing w:after="160"/>
      </w:pPr>
      <w:r>
        <w:rPr>
          <w:rFonts w:ascii="DM Sans" w:cs="DM Sans" w:eastAsia="DM Sans" w:hAnsi="DM Sans"/>
          <w:color w:val="14213D"/>
          <w:sz w:val="22"/>
          <w:szCs w:val="22"/>
        </w:rPr>
        <w:t xml:space="preserve">Geen van de drie kiest Business of Software — niet omdat die sporen minder waard zijn, maar omdat ze simpelweg niet aansluiten bij wat er bij Meridiaan nodig was of bij wat de drie architecten zelf willen. Andere organisaties, met andere opgaven, zouden tot andere verdelingen 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vijf specialisaties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Solution (verbindend), Business (strategie-aansluiting), Information (data), Infrastructure (platform), Software (componenten) — alle vijf op dezelfde vijf pijlers gebouwd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Specialisatie-fit-toets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eigen werkpatroon van de afgelopen periode uitgedrukt in percentages per specialisatie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Ervaring versus gewenste richting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specialisatiekeuze kan een bevestiging zijn van bestaand werk, of een bewuste investering in een nieuwe richting</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22 — Examentraining CITA-A en portfoliobeoordeling. De afsluiting van niveau 2: scenario-oefeningen in het gekozen spoor.</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0f4b8c52d6d0233fe6f80d79ef268f98b8fd2d.png"/><Relationship Id="rId10" Type="http://schemas.openxmlformats.org/officeDocument/2006/relationships/image" Target="media/e30f48710a651f66f5eb6b9340072dc7e2bbc186.png"/><Relationship Id="rId11" Type="http://schemas.openxmlformats.org/officeDocument/2006/relationships/image" Target="media/65f589328d2032a3d49c83801c4aeba72cbb03f5.png"/><Relationship Id="rId12" Type="http://schemas.openxmlformats.org/officeDocument/2006/relationships/image" Target="media/8749b2418b005ab2db5d44d215ec1920b9161e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2026-08-17T16:28:08.160Z</dcterms:created>
  <dcterms:modified xsi:type="dcterms:W3CDTF">2026-08-17T16:28:08.160Z</dcterms:modified>
</cp:coreProperties>
</file>

<file path=docProps/custom.xml><?xml version="1.0" encoding="utf-8"?>
<Properties xmlns="http://schemas.openxmlformats.org/officeDocument/2006/custom-properties" xmlns:vt="http://schemas.openxmlformats.org/officeDocument/2006/docPropsVTypes"/>
</file>