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21 — Werkboek</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rPr>
          <w:rFonts w:ascii="DM Sans" w:cs="DM Sans" w:eastAsia="DM Sans" w:hAnsi="DM Sans"/>
          <w:color w:val="14213D"/>
          <w:sz w:val="22"/>
          <w:szCs w:val="22"/>
        </w:rPr>
        <w:t xml:space="preserve">Deel 21 — Specialisatiekeuze</w:t>
      </w:r>
    </w:p>
    <w:p>
      <w:pPr>
        <w:spacing w:after="160"/>
      </w:pPr>
      <w:r>
        <w:rPr>
          <w:rFonts w:ascii="DM Sans" w:cs="DM Sans" w:eastAsia="DM Sans" w:hAnsi="DM Sans"/>
          <w:b/>
          <w:bCs/>
          <w:color w:val="14213D"/>
          <w:sz w:val="22"/>
          <w:szCs w:val="22"/>
        </w:rPr>
        <w:t xml:space="preserve">Niveau 2 — Engagement, waarde en specialisatie | Werkboek met opdrachten en uitwerkingen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De specialisatie-fit-toets</w:t>
      </w:r>
    </w:p>
    <w:p>
      <w:pPr>
        <w:spacing w:after="200"/>
        <w:jc w:val="center"/>
      </w:pPr>
      <w:r>
        <w:rPr>
          <w:rFonts w:ascii="DM Sans" w:cs="DM Sans" w:eastAsia="DM Sans" w:hAnsi="DM Sans"/>
          <w:i/>
          <w:iCs/>
          <w:color w:val="55606F"/>
          <w:sz w:val="22"/>
          <w:szCs w:val="22"/>
        </w:rPr>
        <w:t xml:space="preserve">Individueel, 20 minuten</w:t>
      </w:r>
    </w:p>
    <w:p>
      <w:pPr>
        <w:spacing w:after="160"/>
      </w:pPr>
      <w:r>
        <w:rPr>
          <w:rFonts w:ascii="DM Sans" w:cs="DM Sans" w:eastAsia="DM Sans" w:hAnsi="DM Sans"/>
          <w:color w:val="14213D"/>
          <w:sz w:val="22"/>
          <w:szCs w:val="22"/>
        </w:rPr>
        <w:t xml:space="preserve">Vul de specialisatie-fit-toets in voor je eigen werk van de afgelopen zes tot twaalf maanden. Schat, bij benadering, hoeveel procent van je tijd naar elk van de vijf specialisaties ging. Tel op tot honderd procent.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Specialisatie</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Percentage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Solution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Business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Information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Infrastructure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Software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Ervaring versus richting</w:t>
      </w:r>
    </w:p>
    <w:p>
      <w:pPr>
        <w:spacing w:after="200"/>
        <w:jc w:val="center"/>
      </w:pPr>
      <w:r>
        <w:rPr>
          <w:rFonts w:ascii="DM Sans" w:cs="DM Sans" w:eastAsia="DM Sans" w:hAnsi="DM Sans"/>
          <w:i/>
          <w:iCs/>
          <w:color w:val="55606F"/>
          <w:sz w:val="22"/>
          <w:szCs w:val="22"/>
        </w:rPr>
        <w:t xml:space="preserve">In tweetallen, 15 minuten</w:t>
      </w:r>
    </w:p>
    <w:p>
      <w:pPr>
        <w:spacing w:after="160"/>
      </w:pPr>
      <w:r>
        <w:rPr>
          <w:rFonts w:ascii="DM Sans" w:cs="DM Sans" w:eastAsia="DM Sans" w:hAnsi="DM Sans"/>
          <w:color w:val="14213D"/>
          <w:sz w:val="22"/>
          <w:szCs w:val="22"/>
        </w:rPr>
        <w:t xml:space="preserve">Bespreek je uitkomst uit opdracht 1 met een collega. Is je hoogste percentage ook het spoor waarin je verder zou willen? Zo niet: in welk kwadrant van 21.5 val je, en wat betekent dat voor je keuze?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Twee specialisaties naast elkaar</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Kies twee specialisaties die je aanspreken (of waar collega's in werken). Beschrijf voor elk, in eigen woorden, een concreet voorbeeld van werk dat daarbij hoort — geen definitie overschrijven, maar een echt voorbeeld uit je eigen omgeving of ervaring.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Je eigen keuze onderbouwen</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Schrijf een kort besluit (max. 100 woorden), naar het voorbeeld van het besluitenlogboek uit deel 7: welke specialisatie kies je, welke alternatieven overwoog je, en wat is je motivering?</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De specialisatie-fit-toets</w:t>
      </w:r>
    </w:p>
    <w:p>
      <w:pPr>
        <w:spacing w:after="160"/>
      </w:pPr>
      <w:r>
        <w:rPr>
          <w:rFonts w:ascii="DM Sans" w:cs="DM Sans" w:eastAsia="DM Sans" w:hAnsi="DM Sans"/>
          <w:color w:val="14213D"/>
          <w:sz w:val="22"/>
          <w:szCs w:val="22"/>
        </w:rPr>
        <w:t xml:space="preserve">Geen modelantwoord. Verwacht patroon: bij deelnemers met een brede rol (vergelijkbaar met Claudette) is Solution vaak dominant. Bij deelnemers met een meer gespecialiseerde functietitel (data engineer, platform engineer) is de uitkomst meestal voorspelbaar in lijn met die titel — maar niet altijd, en juist die uitzonderingen zijn interessant voor de nabespreking.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Ervaring versus richting</w:t>
      </w:r>
    </w:p>
    <w:p>
      <w:pPr>
        <w:spacing w:after="160"/>
      </w:pPr>
      <w:r>
        <w:rPr>
          <w:rFonts w:ascii="DM Sans" w:cs="DM Sans" w:eastAsia="DM Sans" w:hAnsi="DM Sans"/>
          <w:color w:val="14213D"/>
          <w:sz w:val="22"/>
          <w:szCs w:val="22"/>
        </w:rPr>
        <w:t xml:space="preserve">Geen modelantwoord. Sterke antwoorden benoemen expliciet welk kwadrant van toepassing is en wat dat concreet betekent voor de voorbereidingstijd die nodig zou zijn — niet alleen "ik zou liever iets anders doen" zonder de consequentie te erkennen.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Twee specialisaties naast elkaar</w:t>
      </w:r>
    </w:p>
    <w:p>
      <w:pPr>
        <w:spacing w:after="160"/>
      </w:pPr>
      <w:r>
        <w:rPr>
          <w:rFonts w:ascii="DM Sans" w:cs="DM Sans" w:eastAsia="DM Sans" w:hAnsi="DM Sans"/>
          <w:color w:val="14213D"/>
          <w:sz w:val="22"/>
          <w:szCs w:val="22"/>
        </w:rPr>
        <w:t xml:space="preserve">Geen modelantwoord. Beoordeel op concreetheid: een goed voorbeeld noemt een specifiek project, systeem of moment, niet een algemene herhaling van de tabel uit 21.3.</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Je eigen keuze onderbouwen</w:t>
      </w:r>
    </w:p>
    <w:p>
      <w:pPr>
        <w:spacing w:after="160"/>
      </w:pPr>
      <w:r>
        <w:rPr>
          <w:rFonts w:ascii="DM Sans" w:cs="DM Sans" w:eastAsia="DM Sans" w:hAnsi="DM Sans"/>
          <w:color w:val="14213D"/>
          <w:sz w:val="22"/>
          <w:szCs w:val="22"/>
        </w:rPr>
        <w:t xml:space="preserve">Voorbeeldantwoord (86 woorden), in de stijl van een besluitenlogboek-item:</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Context:</w:t>
      </w:r>
      <w:r>
        <w:rPr>
          <w:rFonts w:ascii="DM Sans" w:cs="DM Sans" w:eastAsia="DM Sans" w:hAnsi="DM Sans"/>
          <w:i/>
          <w:iCs/>
          <w:color w:val="14213D"/>
          <w:sz w:val="22"/>
          <w:szCs w:val="22"/>
        </w:rPr>
        <w:t xml:space="preserve"> CITA-A vereist een specialisatiekeuze. Mijn werk van het afgelopen jaar was voor 60% Solution-achtig (cross-team koppelvlakken), 25% Information (datamodellen).</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Alternatieven overwogen:</w:t>
      </w:r>
      <w:r>
        <w:rPr>
          <w:rFonts w:ascii="DM Sans" w:cs="DM Sans" w:eastAsia="DM Sans" w:hAnsi="DM Sans"/>
          <w:i/>
          <w:iCs/>
          <w:color w:val="14213D"/>
          <w:sz w:val="22"/>
          <w:szCs w:val="22"/>
        </w:rPr>
        <w:t xml:space="preserve"> Information, gezien het percentage; Business, uit interesse maar zonder ervaring.</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Besluit:</w:t>
      </w:r>
      <w:r>
        <w:rPr>
          <w:rFonts w:ascii="DM Sans" w:cs="DM Sans" w:eastAsia="DM Sans" w:hAnsi="DM Sans"/>
          <w:i/>
          <w:iCs/>
          <w:color w:val="14213D"/>
          <w:sz w:val="22"/>
          <w:szCs w:val="22"/>
        </w:rPr>
        <w:t xml:space="preserve"> Solution.</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Motivering:</w:t>
      </w:r>
      <w:r>
        <w:rPr>
          <w:rFonts w:ascii="DM Sans" w:cs="DM Sans" w:eastAsia="DM Sans" w:hAnsi="DM Sans"/>
          <w:i/>
          <w:iCs/>
          <w:color w:val="14213D"/>
          <w:sz w:val="22"/>
          <w:szCs w:val="22"/>
        </w:rPr>
        <w:t xml:space="preserve"> sluit aan bij zowel mijn huidige werk als de richting die ik wil opbouwen; Information vergt een groter kennisgat om in te halen dan de tijdsinvestering rechtvaardigt op dit moment.</w:t>
      </w:r>
    </w:p>
    <w:p>
      <w:pPr>
        <w:spacing w:after="160"/>
      </w:pPr>
      <w:r>
        <w:rPr>
          <w:rFonts w:ascii="DM Sans" w:cs="DM Sans" w:eastAsia="DM Sans" w:hAnsi="DM Sans"/>
          <w:b/>
          <w:bCs/>
          <w:color w:val="14213D"/>
          <w:sz w:val="22"/>
          <w:szCs w:val="22"/>
        </w:rPr>
        <w:t xml:space="preserve">Beoordelingscriterium.</w:t>
      </w:r>
      <w:r>
        <w:rPr>
          <w:rFonts w:ascii="DM Sans" w:cs="DM Sans" w:eastAsia="DM Sans" w:hAnsi="DM Sans"/>
          <w:color w:val="14213D"/>
          <w:sz w:val="22"/>
          <w:szCs w:val="22"/>
        </w:rPr>
        <w:t xml:space="preserve"> De motivering moet zowel het huidige werkpatroon als de gewenste richting benoemen — een besluit dat alleen naar het verleden kijkt ("dit deed ik toch al") mist de tweede as uit 21.5.</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2026-08-17T16:28:08.203Z</dcterms:created>
  <dcterms:modified xsi:type="dcterms:W3CDTF">2026-08-17T16:28:08.203Z</dcterms:modified>
</cp:coreProperties>
</file>

<file path=docProps/custom.xml><?xml version="1.0" encoding="utf-8"?>
<Properties xmlns="http://schemas.openxmlformats.org/officeDocument/2006/custom-properties" xmlns:vt="http://schemas.openxmlformats.org/officeDocument/2006/docPropsVTypes"/>
</file>