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4 — Werkboek</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4 — Human Dynamics I: stakeholders</w:t>
      </w:r>
    </w:p>
    <w:p>
      <w:pPr>
        <w:spacing w:after="160"/>
      </w:pPr>
      <w:r>
        <w:rPr>
          <w:rFonts w:ascii="DM Sans" w:cs="DM Sans" w:eastAsia="DM Sans" w:hAnsi="DM Sans"/>
          <w:b/>
          <w:bCs/>
          <w:color w:val="14213D"/>
          <w:sz w:val="22"/>
          <w:szCs w:val="22"/>
        </w:rPr>
        <w:t xml:space="preserve">Niveau 1 — De kern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De vergadering ontleden</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Herlees 4.2. Beantwoord:</w:t>
      </w:r>
    </w:p>
    <w:p>
      <w:pPr>
        <w:spacing w:after="160"/>
      </w:pP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In welk kwadrant van de stakeholderkaart zat de directeur Uitvoering, en in welk kwadrant behandelde Claudette hem feitelijk?</w:t>
      </w:r>
    </w:p>
    <w:p>
      <w:pPr>
        <w:spacing w:after="160"/>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Wat had er twee dagen vóór de vergadering moeten gebeuren?</w:t>
      </w:r>
    </w:p>
    <w:p>
      <w:pPr>
        <w:spacing w:after="160"/>
      </w:pP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Was de notulist fout? Motiveer.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Stakeholderkaart van je eigen situatie</w:t>
      </w:r>
    </w:p>
    <w:p>
      <w:pPr>
        <w:spacing w:after="200"/>
        <w:jc w:val="center"/>
      </w:pPr>
      <w:r>
        <w:rPr>
          <w:rFonts w:ascii="DM Sans" w:cs="DM Sans" w:eastAsia="DM Sans" w:hAnsi="DM Sans"/>
          <w:i/>
          <w:iCs/>
          <w:color w:val="55606F"/>
          <w:sz w:val="22"/>
          <w:szCs w:val="22"/>
        </w:rPr>
        <w:t xml:space="preserve">Individueel, 25 minuten — meenemen naar latere delen</w:t>
      </w:r>
    </w:p>
    <w:p>
      <w:pPr>
        <w:spacing w:after="160"/>
      </w:pPr>
      <w:r>
        <w:rPr>
          <w:rFonts w:ascii="DM Sans" w:cs="DM Sans" w:eastAsia="DM Sans" w:hAnsi="DM Sans"/>
          <w:color w:val="14213D"/>
          <w:sz w:val="22"/>
          <w:szCs w:val="22"/>
        </w:rPr>
        <w:t xml:space="preserve">Kies een lopend of recent besluit uit je eigen werk. Breng minimaal zes stakeholders in kaart: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96"/>
        <w:gridCol w:w="1296"/>
        <w:gridCol w:w="1296"/>
        <w:gridCol w:w="1296"/>
        <w:gridCol w:w="1296"/>
        <w:gridCol w:w="1296"/>
        <w:gridCol w:w="1296"/>
      </w:tblGrid>
      <w:tr>
        <w:tc>
          <w:tcPr>
            <w:tcW w:type="dxa" w:w="129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Naam/rol</w:t>
            </w:r>
          </w:p>
        </w:tc>
        <w:tc>
          <w:tcPr>
            <w:tcW w:type="dxa" w:w="129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Invloed (H/L)</w:t>
            </w:r>
          </w:p>
        </w:tc>
        <w:tc>
          <w:tcPr>
            <w:tcW w:type="dxa" w:w="129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Betrokkenheid (H/L)</w:t>
            </w:r>
          </w:p>
        </w:tc>
        <w:tc>
          <w:tcPr>
            <w:tcW w:type="dxa" w:w="129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Kwadrant</w:t>
            </w:r>
          </w:p>
        </w:tc>
        <w:tc>
          <w:tcPr>
            <w:tcW w:type="dxa" w:w="129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moet hij weten</w:t>
            </w:r>
          </w:p>
        </w:tc>
        <w:tc>
          <w:tcPr>
            <w:tcW w:type="dxa" w:w="129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c>
          <w:tcPr>
            <w:tcW w:type="dxa" w:w="129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Moment</w:t>
            </w:r>
          </w:p>
        </w:tc>
      </w:tr>
      <w:tr>
        <w:tc>
          <w:tcPr>
            <w:tcW w:type="dxa" w:w="1296"/>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296"/>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296"/>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296"/>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296"/>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296"/>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129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spacing w:after="160"/>
      </w:pPr>
      <w:r>
        <w:rPr>
          <w:rFonts w:ascii="DM Sans" w:cs="DM Sans" w:eastAsia="DM Sans" w:hAnsi="DM Sans"/>
          <w:b/>
          <w:bCs/>
          <w:color w:val="14213D"/>
          <w:sz w:val="22"/>
          <w:szCs w:val="22"/>
        </w:rPr>
        <w:t xml:space="preserve">Vervolgvraag.</w:t>
      </w:r>
      <w:r>
        <w:rPr>
          <w:rFonts w:ascii="DM Sans" w:cs="DM Sans" w:eastAsia="DM Sans" w:hAnsi="DM Sans"/>
          <w:color w:val="14213D"/>
          <w:sz w:val="22"/>
          <w:szCs w:val="22"/>
        </w:rPr>
        <w:t xml:space="preserve"> Welke stakeholder had je, vóór deze oefening, in het verkeerde kwadrant staan — of helemaal niet op je lijst?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Klant of stakeholder</w:t>
      </w:r>
    </w:p>
    <w:p>
      <w:pPr>
        <w:spacing w:after="200"/>
        <w:jc w:val="center"/>
      </w:pPr>
      <w:r>
        <w:rPr>
          <w:rFonts w:ascii="DM Sans" w:cs="DM Sans" w:eastAsia="DM Sans" w:hAnsi="DM Sans"/>
          <w:i/>
          <w:iCs/>
          <w:color w:val="55606F"/>
          <w:sz w:val="22"/>
          <w:szCs w:val="22"/>
        </w:rPr>
        <w:t xml:space="preserve">In tweetallen, 15 minuten</w:t>
      </w:r>
    </w:p>
    <w:p>
      <w:pPr>
        <w:spacing w:after="160"/>
      </w:pPr>
      <w:r>
        <w:rPr>
          <w:rFonts w:ascii="DM Sans" w:cs="DM Sans" w:eastAsia="DM Sans" w:hAnsi="DM Sans"/>
          <w:color w:val="14213D"/>
          <w:sz w:val="22"/>
          <w:szCs w:val="22"/>
        </w:rPr>
        <w:t xml:space="preserve">Voor elk van de volgende partijen in jouw organisatie: klant of stakeholder, en waarom? Wat verandert er in je aanpak als je het label omdraait?</w:t>
      </w:r>
    </w:p>
    <w:p>
      <w:pPr>
        <w:pStyle w:val="ListParagraph"/>
        <w:numPr>
          <w:ilvl w:val="0"/>
          <w:numId w:val="2"/>
        </w:numPr>
      </w:pPr>
      <w:r>
        <w:rPr>
          <w:rFonts w:ascii="DM Sans" w:cs="DM Sans" w:eastAsia="DM Sans" w:hAnsi="DM Sans"/>
          <w:color w:val="14213D"/>
          <w:sz w:val="22"/>
          <w:szCs w:val="22"/>
        </w:rPr>
        <w:t xml:space="preserve">De afdeling die het systeem dagelijks gebruikt</w:t>
      </w:r>
    </w:p>
    <w:p>
      <w:pPr>
        <w:pStyle w:val="ListParagraph"/>
        <w:numPr>
          <w:ilvl w:val="0"/>
          <w:numId w:val="2"/>
        </w:numPr>
      </w:pPr>
      <w:r>
        <w:rPr>
          <w:rFonts w:ascii="DM Sans" w:cs="DM Sans" w:eastAsia="DM Sans" w:hAnsi="DM Sans"/>
          <w:color w:val="14213D"/>
          <w:sz w:val="22"/>
          <w:szCs w:val="22"/>
        </w:rPr>
        <w:t xml:space="preserve">De afdeling die het budget goedkeurt</w:t>
      </w:r>
    </w:p>
    <w:p>
      <w:pPr>
        <w:pStyle w:val="ListParagraph"/>
        <w:numPr>
          <w:ilvl w:val="0"/>
          <w:numId w:val="2"/>
        </w:numPr>
      </w:pPr>
      <w:r>
        <w:rPr>
          <w:rFonts w:ascii="DM Sans" w:cs="DM Sans" w:eastAsia="DM Sans" w:hAnsi="DM Sans"/>
          <w:color w:val="14213D"/>
          <w:sz w:val="22"/>
          <w:szCs w:val="22"/>
        </w:rPr>
        <w:t xml:space="preserve">De eindklant/burger/patiënt/deelnemer</w:t>
      </w:r>
    </w:p>
    <w:p>
      <w:pPr>
        <w:pStyle w:val="ListParagraph"/>
        <w:numPr>
          <w:ilvl w:val="0"/>
          <w:numId w:val="2"/>
        </w:numPr>
      </w:pPr>
      <w:r>
        <w:rPr>
          <w:rFonts w:ascii="DM Sans" w:cs="DM Sans" w:eastAsia="DM Sans" w:hAnsi="DM Sans"/>
          <w:color w:val="14213D"/>
          <w:sz w:val="22"/>
          <w:szCs w:val="22"/>
        </w:rPr>
        <w:t xml:space="preserve">Een collega-architect van een aanpalend domein</w:t>
      </w:r>
    </w:p>
    <w:p>
      <w:pPr>
        <w:pStyle w:val="ListParagraph"/>
        <w:numPr>
          <w:ilvl w:val="0"/>
          <w:numId w:val="2"/>
        </w:numPr>
      </w:pPr>
      <w:r>
        <w:rPr>
          <w:rFonts w:ascii="DM Sans" w:cs="DM Sans" w:eastAsia="DM Sans" w:hAnsi="DM Sans"/>
          <w:color w:val="14213D"/>
          <w:sz w:val="22"/>
          <w:szCs w:val="22"/>
        </w:rPr>
        <w:t xml:space="preserve">De toezichthouder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Cultuur lezen: drie signalen</w:t>
      </w:r>
    </w:p>
    <w:p>
      <w:pPr>
        <w:spacing w:after="200"/>
        <w:jc w:val="center"/>
      </w:pPr>
      <w:r>
        <w:rPr>
          <w:rFonts w:ascii="DM Sans" w:cs="DM Sans" w:eastAsia="DM Sans" w:hAnsi="DM Sans"/>
          <w:i/>
          <w:iCs/>
          <w:color w:val="55606F"/>
          <w:sz w:val="22"/>
          <w:szCs w:val="22"/>
        </w:rPr>
        <w:t xml:space="preserve">In groepen van drie tot vier, 20 minuten</w:t>
      </w:r>
    </w:p>
    <w:p>
      <w:pPr>
        <w:spacing w:after="160"/>
      </w:pPr>
      <w:r>
        <w:rPr>
          <w:rFonts w:ascii="DM Sans" w:cs="DM Sans" w:eastAsia="DM Sans" w:hAnsi="DM Sans"/>
          <w:color w:val="14213D"/>
          <w:sz w:val="22"/>
          <w:szCs w:val="22"/>
        </w:rPr>
        <w:t xml:space="preserve">Pas de drie signalen uit 4.6 toe op je eigen organisatie:</w:t>
      </w:r>
    </w:p>
    <w:p>
      <w:pPr>
        <w:spacing w:after="160"/>
      </w:pP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Wat wordt er structureel te laat aangekondigd, en wat zegt dat over wie er echt over gaat?</w:t>
      </w:r>
    </w:p>
    <w:p>
      <w:pPr>
        <w:spacing w:after="160"/>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Wie onderbreekt wie in een vergadering, en wat zegt dat over de verhouding tussen status en argument?</w:t>
      </w:r>
    </w:p>
    <w:p>
      <w:pPr>
        <w:spacing w:after="160"/>
      </w:pP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Wat gebeurt er na een fout — wordt er gezocht naar oorzaak of naar schuldige? Wat doet dat met wat mensen vroeg durven melden?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 — Herschrijf het bezwaar</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Claudette's bezwaar in de portefeuilleraad was inhoudelijk juist maar verkeerd getimed en gericht. Herschrijf het als een kort bericht (max. 80 woorden) dat ze </w:t>
      </w:r>
      <w:r>
        <w:rPr>
          <w:rFonts w:ascii="DM Sans" w:cs="DM Sans" w:eastAsia="DM Sans" w:hAnsi="DM Sans"/>
          <w:b/>
          <w:bCs/>
          <w:color w:val="14213D"/>
          <w:sz w:val="22"/>
          <w:szCs w:val="22"/>
        </w:rPr>
        <w:t xml:space="preserve">twee dagen vóór</w:t>
      </w:r>
      <w:r>
        <w:rPr>
          <w:rFonts w:ascii="DM Sans" w:cs="DM Sans" w:eastAsia="DM Sans" w:hAnsi="DM Sans"/>
          <w:color w:val="14213D"/>
          <w:sz w:val="22"/>
          <w:szCs w:val="22"/>
        </w:rPr>
        <w:t xml:space="preserve"> de vergadering aan de directeur Uitvoering had kunnen sturen. Gebruik de vijfde kolom van de stakeholderkaart: wat, in welke vorm, wat wordt er gevraagd.</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De vergadering ontleden</w:t>
      </w:r>
    </w:p>
    <w:p>
      <w:pPr>
        <w:spacing w:after="160"/>
      </w:pP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De directeur Uitvoering zit feitelijk in </w:t>
      </w:r>
      <w:r>
        <w:rPr>
          <w:rFonts w:ascii="DM Sans" w:cs="DM Sans" w:eastAsia="DM Sans" w:hAnsi="DM Sans"/>
          <w:b/>
          <w:bCs/>
          <w:color w:val="14213D"/>
          <w:sz w:val="22"/>
          <w:szCs w:val="22"/>
        </w:rPr>
        <w:t xml:space="preserve">invloed hoog / betrokkenheid hoog</w:t>
      </w:r>
      <w:r>
        <w:rPr>
          <w:rFonts w:ascii="DM Sans" w:cs="DM Sans" w:eastAsia="DM Sans" w:hAnsi="DM Sans"/>
          <w:color w:val="14213D"/>
          <w:sz w:val="22"/>
          <w:szCs w:val="22"/>
        </w:rPr>
        <w:t xml:space="preserve"> — hij kan het besluit maken of breken én de uitkomst raakt zijn afdeling direct. Claudette behandelde hem alsof hij in </w:t>
      </w:r>
      <w:r>
        <w:rPr>
          <w:rFonts w:ascii="DM Sans" w:cs="DM Sans" w:eastAsia="DM Sans" w:hAnsi="DM Sans"/>
          <w:b/>
          <w:bCs/>
          <w:color w:val="14213D"/>
          <w:sz w:val="22"/>
          <w:szCs w:val="22"/>
        </w:rPr>
        <w:t xml:space="preserve">informeren</w:t>
      </w:r>
      <w:r>
        <w:rPr>
          <w:rFonts w:ascii="DM Sans" w:cs="DM Sans" w:eastAsia="DM Sans" w:hAnsi="DM Sans"/>
          <w:color w:val="14213D"/>
          <w:sz w:val="22"/>
          <w:szCs w:val="22"/>
        </w:rPr>
        <w:t xml:space="preserve"> zat: iemand die je terloops, tijdens de vergadering zelf, bijpraat.</w:t>
      </w:r>
    </w:p>
    <w:p>
      <w:pPr>
        <w:spacing w:after="160"/>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Een kort, direct bericht aan hem persoonlijk: het gevraagde besluit expliciet benoemd, de kern van de onderbouwing, en de consequentie van uitstel — vergelijkbaar met wat in opdracht 5 wordt gevraagd.</w:t>
      </w:r>
    </w:p>
    <w:p>
      <w:pPr>
        <w:spacing w:after="160"/>
      </w:pP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Nee. De notulist registreert wat feitelijk gebeurde: een opmerking zonder eigenaar, gericht aan de verkeerde persoon, op het verkeerde moment. Van de notulist verwachten dat hij een matig ingebrachte opmerking alsnog optekent als volwaardig agendapunt, zou de verantwoordelijkheid verkeerd leggen. Dit is het leerpunt van de hele opdracht: de makkelijkste reactie is de notulist of de vergadering de schuld geven; de nuttige reactie is het eigen gedrag onderzoeken.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Stakeholderkaart eigen situatie</w:t>
      </w:r>
    </w:p>
    <w:p>
      <w:pPr>
        <w:spacing w:after="160"/>
      </w:pPr>
      <w:r>
        <w:rPr>
          <w:rFonts w:ascii="DM Sans" w:cs="DM Sans" w:eastAsia="DM Sans" w:hAnsi="DM Sans"/>
          <w:color w:val="14213D"/>
          <w:sz w:val="22"/>
          <w:szCs w:val="22"/>
        </w:rPr>
        <w:t xml:space="preserve">Geen modelantwoord. Patroon om op te letten: de meeste deelnemers vinden bij navraag minstens één stakeholder die ze aanvankelijk vergaten — vaak iemand in </w:t>
      </w:r>
      <w:r>
        <w:rPr>
          <w:rFonts w:ascii="DM Sans" w:cs="DM Sans" w:eastAsia="DM Sans" w:hAnsi="DM Sans"/>
          <w:b/>
          <w:bCs/>
          <w:color w:val="14213D"/>
          <w:sz w:val="22"/>
          <w:szCs w:val="22"/>
        </w:rPr>
        <w:t xml:space="preserve">invloed hoog / betrokkenheid laag</w:t>
      </w:r>
      <w:r>
        <w:rPr>
          <w:rFonts w:ascii="DM Sans" w:cs="DM Sans" w:eastAsia="DM Sans" w:hAnsi="DM Sans"/>
          <w:color w:val="14213D"/>
          <w:sz w:val="22"/>
          <w:szCs w:val="22"/>
        </w:rPr>
        <w:t xml:space="preserve"> (tevreden houden). Dat kwadrant wordt het vaakst over het hoofd gezien omdat de persoon zich niet actief meldt; hij hééft geen belang totdat hij ineens wel invloed uitoefent, meestal op het slechtst mogelijke moment.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Klant of stakeholder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Partij</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Label</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verandert er als je het omdraait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Dagelijkse gebruiker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Stakeholder (soms deels klant, afhankelijk van de casus uit deel 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als "klant": haar comfort krijgt voorrang boven wat de eigenlijke eindklant nodig heeft — riskant bij Meridiaan, waar gebruiker (deelnemer) en interne gebruiker (medewerker Klantbediening) verschillende partijen zijn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Budgethouder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Stakeholder — hoog invloedrijk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als "klant" behandeld: je optimaliseert voor budgetgoedkeuring in plaats van voor de uitkomst die het budget dient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Eindklant/deelnemer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Klant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dit is het enige label dat hier klopt; het risico zit in het omgekeerde — hem als stakeholder onder velen behandelen in plaats van als degene voor wie het werk bestaat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Collega-architect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Stakeholder, peer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als "klant" behandeld: je gaat hem tevreden houden in plaats van het juiste besluit met hem uitvechten — precies de valkuil uit 4.7</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Toezichthouder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Stakeholder — hoog invloedrijk, beperking-opleggend (koppel aan deel 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klantrelatie maar een beperking; het gaat niet om tevredenheid maar om aantoonbare naleving</w:t>
            </w:r>
          </w:p>
        </w:tc>
      </w:tr>
    </w:tbl>
    <w:p>
      <w:pPr>
        <w:spacing w:after="160"/>
      </w:pPr>
    </w:p>
    <w:p>
      <w:pPr>
        <w:spacing w:after="160"/>
      </w:pPr>
      <w:r>
        <w:rPr>
          <w:rFonts w:ascii="DM Sans" w:cs="DM Sans" w:eastAsia="DM Sans" w:hAnsi="DM Sans"/>
          <w:b/>
          <w:bCs/>
          <w:color w:val="14213D"/>
          <w:sz w:val="22"/>
          <w:szCs w:val="22"/>
        </w:rPr>
        <w:t xml:space="preserve">Kern van deze opdracht.</w:t>
      </w:r>
      <w:r>
        <w:rPr>
          <w:rFonts w:ascii="DM Sans" w:cs="DM Sans" w:eastAsia="DM Sans" w:hAnsi="DM Sans"/>
          <w:color w:val="14213D"/>
          <w:sz w:val="22"/>
          <w:szCs w:val="22"/>
        </w:rPr>
        <w:t xml:space="preserve"> Alleen partij 3 is onomstreden klant. De rest is stakeholder — met wisselend gewicht, maar nooit doorslaggevend voor de vraag wat het juiste ontwerp is. Wie dat verwart, optimaliseert voor de verkeerde stem.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Cultuur lezen</w:t>
      </w:r>
    </w:p>
    <w:p>
      <w:pPr>
        <w:spacing w:after="160"/>
      </w:pPr>
      <w:r>
        <w:rPr>
          <w:rFonts w:ascii="DM Sans" w:cs="DM Sans" w:eastAsia="DM Sans" w:hAnsi="DM Sans"/>
          <w:color w:val="14213D"/>
          <w:sz w:val="22"/>
          <w:szCs w:val="22"/>
        </w:rPr>
        <w:t xml:space="preserve">Geen modelantwoord; wel een waarschuwing voor de nabespreking. Onderdeel c levert vaak het meest ongemakkelijke antwoord op, en dat is precies waar de winst zit: een groep die eerlijk constateert "wij zoeken een schuldige" heeft daarmee ook meteen verklaard waarom bepaalde problemen bij hen laat worden gemeld of helemaal niet. Leg die twee dingen expliciet naast elkaar — de connectie is het leerpunt, niet de losse constateringen.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U5 — Herschrijf het bezwaar</w:t>
      </w:r>
    </w:p>
    <w:p>
      <w:pPr>
        <w:spacing w:after="160"/>
      </w:pPr>
      <w:r>
        <w:rPr>
          <w:rFonts w:ascii="DM Sans" w:cs="DM Sans" w:eastAsia="DM Sans" w:hAnsi="DM Sans"/>
          <w:color w:val="14213D"/>
          <w:sz w:val="22"/>
          <w:szCs w:val="22"/>
        </w:rPr>
        <w:t xml:space="preserve">Voorbeeldantwoord (76 woorden):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Voor de vergadering van donderdag: ik vraag akkoord voor twee dagen analyse van het koppelvlak tussen polis- en uitkeringsadministratie. We zien een patroon van dubbele mutaties, mogelijk gerelateerd aan de vier recente verstoringen in de uitkeringsstraat. Zonder die analyse loopt het risico op een niet-gecorrigeerde fout in de deelnemersuitkering door. Ik wil dit graag kort toelichten voorafgaand aan de vergadering, of anders in twee minuten op de agenda.</w:t>
      </w:r>
    </w:p>
    <w:p>
      <w:pPr>
        <w:spacing w:after="160"/>
      </w:pPr>
      <w:r>
        <w:rPr>
          <w:rFonts w:ascii="DM Sans" w:cs="DM Sans" w:eastAsia="DM Sans" w:hAnsi="DM Sans"/>
          <w:b/>
          <w:bCs/>
          <w:color w:val="14213D"/>
          <w:sz w:val="22"/>
          <w:szCs w:val="22"/>
        </w:rPr>
        <w:t xml:space="preserve">Beoordelingscriteria: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Criterium</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Voldoet als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Vooraf, niet tijdens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bericht is gedateerd of expliciet gepositioneerd vóór de vergadering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gevraagd besluit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 staat precies één ding waarover ze een ja wil, geen lijst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Consequentie van uitstel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 staat wat er gebeurt als er niets gebeurt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Gericht aan de juiste persoon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niet aan de notulist, niet aan de groep — aan degene met de invloed</w:t>
            </w:r>
          </w:p>
        </w:tc>
      </w:tr>
    </w:tbl>
    <w:p>
      <w:pPr>
        <w:spacing w:after="160"/>
      </w:pP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2026-08-17T16:44:35.437Z</dcterms:created>
  <dcterms:modified xsi:type="dcterms:W3CDTF">2026-08-17T16:44:35.437Z</dcterms:modified>
</cp:coreProperties>
</file>

<file path=docProps/custom.xml><?xml version="1.0" encoding="utf-8"?>
<Properties xmlns="http://schemas.openxmlformats.org/officeDocument/2006/custom-properties" xmlns:vt="http://schemas.openxmlformats.org/officeDocument/2006/docPropsVTypes"/>
</file>