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9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9 — IT Environment</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Leeftijd is geen risicomaat</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Denk aan drie systemen uit je eigen werkomgeving: één dat je zelf als "risicovol" zou bestempelen, één dat je als "veilig" zou bestempelen, en één waar je eigenlijk niet goed over hebt nagedacht.</w:t>
      </w:r>
    </w:p>
    <w:p>
      <w:pPr>
        <w:spacing w:after="160"/>
      </w:pPr>
      <w:r>
        <w:rPr>
          <w:rFonts w:ascii="DM Sans" w:cs="DM Sans" w:eastAsia="DM Sans" w:hAnsi="DM Sans"/>
          <w:color w:val="14213D"/>
          <w:sz w:val="22"/>
          <w:szCs w:val="22"/>
        </w:rPr>
        <w:t xml:space="preserve">Voor elk: wat is de leeftijd, wat is de technische gezondheid (los van leeftijd), en wat is de bedrijfskriticaliteit? Valt je eigen intuïtieve label samen met wat de twee assen zeggen, of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De legacytriage</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Breng minimaal acht systemen uit je eigen omgeving in kaart in het kwadrant.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Systeem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Technische gezondheid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Kriticaliteit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Kwadrant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Vervolgvraag.</w:t>
      </w:r>
      <w:r>
        <w:rPr>
          <w:rFonts w:ascii="DM Sans" w:cs="DM Sans" w:eastAsia="DM Sans" w:hAnsi="DM Sans"/>
          <w:color w:val="14213D"/>
          <w:sz w:val="22"/>
          <w:szCs w:val="22"/>
        </w:rPr>
        <w:t xml:space="preserve"> Welk systeem stond, vóór deze oefening, hoger of lager op je mentale prioriteitenlijst dan waar het kwadrant het nu plaatst?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Kaders of ontwerp</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Voor elk van de volgende uitspraken die in een architectuurgremium zouden kunnen vallen: is dit kaders stellen of ontwerpen? Zo nodig: herschrijf de uitspraak zodat hij wél kaders stelt in plaats van ontwerpt.</w:t>
      </w:r>
    </w:p>
    <w:p>
      <w:pPr>
        <w:pStyle w:val="ListParagraph"/>
        <w:numPr>
          <w:ilvl w:val="0"/>
          <w:numId w:val="2"/>
        </w:numPr>
      </w:pPr>
      <w:r>
        <w:rPr>
          <w:rFonts w:ascii="DM Sans" w:cs="DM Sans" w:eastAsia="DM Sans" w:hAnsi="DM Sans"/>
          <w:color w:val="14213D"/>
          <w:sz w:val="22"/>
          <w:szCs w:val="22"/>
        </w:rPr>
        <w:t xml:space="preserve">"Elk nieuw koppelvlak met een externe partij gebruikt asynchrone berichten, geen synchrone aanroepen."</w:t>
      </w:r>
    </w:p>
    <w:p>
      <w:pPr>
        <w:pStyle w:val="ListParagraph"/>
        <w:numPr>
          <w:ilvl w:val="0"/>
          <w:numId w:val="2"/>
        </w:numPr>
      </w:pPr>
      <w:r>
        <w:rPr>
          <w:rFonts w:ascii="DM Sans" w:cs="DM Sans" w:eastAsia="DM Sans" w:hAnsi="DM Sans"/>
          <w:color w:val="14213D"/>
          <w:sz w:val="22"/>
          <w:szCs w:val="22"/>
        </w:rPr>
        <w:t xml:space="preserve">"Voor dit specifieke koppelvlak gebruiken we RabbitMQ."</w:t>
      </w:r>
    </w:p>
    <w:p>
      <w:pPr>
        <w:pStyle w:val="ListParagraph"/>
        <w:numPr>
          <w:ilvl w:val="0"/>
          <w:numId w:val="2"/>
        </w:numPr>
      </w:pPr>
      <w:r>
        <w:rPr>
          <w:rFonts w:ascii="DM Sans" w:cs="DM Sans" w:eastAsia="DM Sans" w:hAnsi="DM Sans"/>
          <w:color w:val="14213D"/>
          <w:sz w:val="22"/>
          <w:szCs w:val="22"/>
        </w:rPr>
        <w:t xml:space="preserve">"Persoonsgegevens worden nooit ongecodeerd opgeslagen."</w:t>
      </w:r>
    </w:p>
    <w:p>
      <w:pPr>
        <w:pStyle w:val="ListParagraph"/>
        <w:numPr>
          <w:ilvl w:val="0"/>
          <w:numId w:val="2"/>
        </w:numPr>
      </w:pPr>
      <w:r>
        <w:rPr>
          <w:rFonts w:ascii="DM Sans" w:cs="DM Sans" w:eastAsia="DM Sans" w:hAnsi="DM Sans"/>
          <w:color w:val="14213D"/>
          <w:sz w:val="22"/>
          <w:szCs w:val="22"/>
        </w:rPr>
        <w:t xml:space="preserve">"Deze tabel krijgt de volgende kolomstructuur..."</w:t>
      </w:r>
    </w:p>
    <w:p>
      <w:pPr>
        <w:pStyle w:val="ListParagraph"/>
        <w:numPr>
          <w:ilvl w:val="0"/>
          <w:numId w:val="2"/>
        </w:numPr>
      </w:pPr>
      <w:r>
        <w:rPr>
          <w:rFonts w:ascii="DM Sans" w:cs="DM Sans" w:eastAsia="DM Sans" w:hAnsi="DM Sans"/>
          <w:color w:val="14213D"/>
          <w:sz w:val="22"/>
          <w:szCs w:val="22"/>
        </w:rPr>
        <w:t xml:space="preserve">"Elk team documenteert zijn architectuurbesluiten in het besluitenlogboek."</w:t>
      </w:r>
    </w:p>
    <w:p>
      <w:pPr>
        <w:pStyle w:val="ListParagraph"/>
        <w:numPr>
          <w:ilvl w:val="0"/>
          <w:numId w:val="2"/>
        </w:numPr>
      </w:pPr>
      <w:r>
        <w:rPr>
          <w:rFonts w:ascii="DM Sans" w:cs="DM Sans" w:eastAsia="DM Sans" w:hAnsi="DM Sans"/>
          <w:color w:val="14213D"/>
          <w:sz w:val="22"/>
          <w:szCs w:val="22"/>
        </w:rPr>
        <w:t xml:space="preserve">"Dit specifieke besluit wordt als volgt gemotiveerd: ..."</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besluitenlogboek raadplegen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Neem het besluitenlogboek dat je in deel 7 hebt ingevuld (opdracht 2 daar). Stel je een toekomstige situatie voor waarin iemand anders — een nieuwe collega, of jijzelf over twee jaar — dit besluit zou moeten kunnen terugvinden en begrijpen zonder jou te kunnen vragen.</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Is het vijfde veld (heroverwegingsmoment) specifiek genoeg om te herkennen wanneer het moment is aangebroken?</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Wat zou je nu toevoegen, met de kennis van dit 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De due diligence voor jouw organisatie</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Stel je voor dat jullie organisatie morgen een vergelijkbare kans krijgt als Meridiaan (een fusie, overname, nieuwe grote klant, samenwerking). Welke twee systemen zouden, op basis van jullie eigen kwadrant uit opdracht 2, in het kwadrant "prioritair aanpakken" vallen? Wat zou er mis kunnen gaan als die twee systemen niet vooraf worden aangepakt?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Leeftijd is geen risicomaat</w:t>
      </w:r>
    </w:p>
    <w:p>
      <w:pPr>
        <w:spacing w:after="160"/>
      </w:pPr>
      <w:r>
        <w:rPr>
          <w:rFonts w:ascii="DM Sans" w:cs="DM Sans" w:eastAsia="DM Sans" w:hAnsi="DM Sans"/>
          <w:color w:val="14213D"/>
          <w:sz w:val="22"/>
          <w:szCs w:val="22"/>
        </w:rPr>
        <w:t xml:space="preserve">Geen modelantwoord. Verwacht patroon: het systeem waar deelnemers "eigenlijk niet goed over hebben nagedacht" blijkt bij toepassing van de twee assen vaak in het kwadrant "prioritair aanpakken" te vallen — precies omdat het onder de radar bleef. Dat is de kern van deze opdracht: het kwadrant maakt zichtbaar wat intuïtie mist, niet omdat intuïtie fout is, maar omdat intuïtie disproportioneel op leeftijd en zichtbaarheid let.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De legacytriage</w:t>
      </w:r>
    </w:p>
    <w:p>
      <w:pPr>
        <w:spacing w:after="160"/>
      </w:pPr>
      <w:r>
        <w:rPr>
          <w:rFonts w:ascii="DM Sans" w:cs="DM Sans" w:eastAsia="DM Sans" w:hAnsi="DM Sans"/>
          <w:color w:val="14213D"/>
          <w:sz w:val="22"/>
          <w:szCs w:val="22"/>
        </w:rPr>
        <w:t xml:space="preserve">Geen modelantwoord. Bij de vervolgvraag: het meest voorkomende patroon is dat een relatief jong, weinig zichtbaar systeem — vaak een koppelvlak of een tussenlaag, gebouwd door een externe partij of een inmiddels vertrokken team — hoger uitkomt dan verwacht. Dit spiegelt precies de casus in de reader (het vijf jaar oude koppelvlak versus de tweeëntwintig jaar oude polisadministratie).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Kaders of ontwerp</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Uitspraak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Kaders of ontwerp</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Herschreven (indien ontwerp)</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Asynchrone berichten, geen synchrone aanroepen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Kaders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 dit koppelvlak gebruiken we RabbitMQ"</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Ontwerp</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asynchroon koppelvlak gebruikt een berichtenwachtrij die aan [kadereisen] voldoet" — het specifieke product is aan het projectteam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Persoonsgegevens nooit ongecodeerd opgeslagen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Kaders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Specifieke kolomstructuur van een tabel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Ontwerp</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dit hoort niet in een gremiumbesluit; hooguit een kader over welk soort gegevensmodel wordt gehanteerd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team documenteert in het besluitenlogboek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Kaders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"Dit specifieke besluit wordt als volgt gemotiveerd"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Ontwerp</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dit is precies het soort besluit dat het projectteam zelf neemt en vastlegt — het gremium stelt de eis dat het gebeurt (kaders), niet de inhoud van elk specifiek besluit</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De kaderstellende uitspraken (1, 3, 5) benoemen een principe dat voor alle toekomstige gevallen geldt. De ontwerpuitspraken (2, 4, 6) kiezen een specifieke oplossing voor één geval. Zodra een gremium zich met specifieke productkeuzes of specifieke tabelstructuren gaat bezighouden, is het — in de taal van deel 1 — een ontwerpbureau met een goedkeuringsstempel geworden, niet langer een kaderstellend orgaan.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besluitenlogboek raadplegen</w:t>
      </w:r>
    </w:p>
    <w:p>
      <w:pPr>
        <w:spacing w:after="160"/>
      </w:pPr>
      <w:r>
        <w:rPr>
          <w:rFonts w:ascii="DM Sans" w:cs="DM Sans" w:eastAsia="DM Sans" w:hAnsi="DM Sans"/>
          <w:color w:val="14213D"/>
          <w:sz w:val="22"/>
          <w:szCs w:val="22"/>
        </w:rPr>
        <w:t xml:space="preserve">Geen modelantwoord. Meest voorkomende bevinding bij a: het vijfde veld is vaak te vaag geformuleerd om objectief te herkennen ("als de situatie verandert" in plaats van "zodra we een derde fonds aansluiten via hetzelfde patroon"). Dit is een directe, praktische correctie op het eigen werk uit deel 7 — precies de bedoeling van deze opdracht.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De due diligence voor jouw organisatie</w:t>
      </w:r>
    </w:p>
    <w:p>
      <w:pPr>
        <w:spacing w:after="160"/>
      </w:pPr>
      <w:r>
        <w:rPr>
          <w:rFonts w:ascii="DM Sans" w:cs="DM Sans" w:eastAsia="DM Sans" w:hAnsi="DM Sans"/>
          <w:color w:val="14213D"/>
          <w:sz w:val="22"/>
          <w:szCs w:val="22"/>
        </w:rPr>
        <w:t xml:space="preserve">Geen modelantwoord; beoordeel op concreetheid. Een goed antwoord benoemt een specifiek, aanwijsbaar risico ("als dit koppelvlak niet eerst wordt aangepakt, kan de nieuwe partner niet binnen de afgesproken termijn worden aangesloten omdat niemand meer weet hoe de authenticatielaag werkt") in plaats van een algemene zorg ("het zou kunnen mislopen"). Het verschil tussen die twee niveaus van concreetheid is precies wat de legacytriage als instrument moet opleveren.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2026-08-17T16:44:36.083Z</dcterms:created>
  <dcterms:modified xsi:type="dcterms:W3CDTF">2026-08-17T16:44:36.083Z</dcterms:modified>
</cp:coreProperties>
</file>

<file path=docProps/custom.xml><?xml version="1.0" encoding="utf-8"?>
<Properties xmlns="http://schemas.openxmlformats.org/officeDocument/2006/custom-properties" xmlns:vt="http://schemas.openxmlformats.org/officeDocument/2006/docPropsVTypes"/>
</file>