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11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11 — Het engagement model</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11.1 Waar dit niveau over gaat</w:t>
      </w:r>
    </w:p>
    <w:p>
      <w:pPr>
        <w:spacing w:after="160"/>
      </w:pPr>
      <w:r>
        <w:rPr>
          <w:rFonts w:ascii="DM Sans" w:cs="DM Sans" w:eastAsia="DM Sans" w:hAnsi="DM Sans"/>
          <w:color w:val="14213D"/>
          <w:sz w:val="22"/>
          <w:szCs w:val="22"/>
        </w:rPr>
        <w:t xml:space="preserve">Niveau 1 ging over wat een architect moet kunnen. Niveau 2 gaat over hoe je dat kunnen aanbiedt als dienst — aan een organisatie die niet vanzelf weet wat ze van je mag verwachten, en aan een team dat op jouw aanpak gaat vertrouwen, niet alleen op jou persoonlijk.</w:t>
      </w:r>
    </w:p>
    <w:p>
      <w:pPr>
        <w:spacing w:after="160"/>
      </w:pPr>
      <w:r>
        <w:rPr>
          <w:rFonts w:ascii="DM Sans" w:cs="DM Sans" w:eastAsia="DM Sans" w:hAnsi="DM Sans"/>
          <w:color w:val="14213D"/>
          <w:sz w:val="22"/>
          <w:szCs w:val="22"/>
        </w:rPr>
        <w:t xml:space="preserve">Dit niveau bereidt voor op </w:t>
      </w:r>
      <w:r>
        <w:rPr>
          <w:rFonts w:ascii="DM Sans" w:cs="DM Sans" w:eastAsia="DM Sans" w:hAnsi="DM Sans"/>
          <w:b/>
          <w:bCs/>
          <w:color w:val="14213D"/>
          <w:sz w:val="22"/>
          <w:szCs w:val="22"/>
        </w:rPr>
        <w:t xml:space="preserve">CITA-A</w:t>
      </w:r>
      <w:r>
        <w:rPr>
          <w:rFonts w:ascii="DM Sans" w:cs="DM Sans" w:eastAsia="DM Sans" w:hAnsi="DM Sans"/>
          <w:color w:val="14213D"/>
          <w:sz w:val="22"/>
          <w:szCs w:val="22"/>
        </w:rPr>
        <w:t xml:space="preserve">, de Associate-certificering: een verdiepend examen in één specialisatie, na een periode van praktijkervaring. In deze cursus werken we het Solution-spoor volledig uit — het meest gangbare spoor en het dichtst bij de klantpraktijk van de meeste deelnemers — met bij elk deel een korte aanduiding van wat er verandert voor de andere vier specialisaties: Business, Information, Infrastructure en Software.</w:t>
      </w:r>
    </w:p>
    <w:p>
      <w:pPr>
        <w:spacing w:after="160"/>
      </w:pPr>
      <w:r>
        <w:rPr>
          <w:rFonts w:ascii="DM Sans" w:cs="DM Sans" w:eastAsia="DM Sans" w:hAnsi="DM Sans"/>
          <w:b/>
          <w:bCs/>
          <w:color w:val="14213D"/>
          <w:sz w:val="22"/>
          <w:szCs w:val="22"/>
        </w:rPr>
        <w:t xml:space="preserve">Nieuwe casusfase.</w:t>
      </w:r>
      <w:r>
        <w:rPr>
          <w:rFonts w:ascii="DM Sans" w:cs="DM Sans" w:eastAsia="DM Sans" w:hAnsi="DM Sans"/>
          <w:color w:val="14213D"/>
          <w:sz w:val="22"/>
          <w:szCs w:val="22"/>
        </w:rPr>
        <w:t xml:space="preserve"> Het is anderhalf jaar later. Meridiaan is het transformatieprogramma "Mutatieplatform" gestart — dezelfde omgeving die deelnemers aan de EA- en SA-cursus van Ductus kennen ↗, hier bekeken vanuit het perspectief van één architect binnen het programma in plaats van vanuit de architectuurfunctie of het systeem als geheel. Claudette is niet langer de enige architect bij Meridiaan; er zijn nu drie, en zij is gevraagd zich aan te sluiten bij het programma als embedded architect.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het verschil toepassen tussen een dienst en een taak;</w:t>
      </w:r>
    </w:p>
    <w:p>
      <w:pPr>
        <w:pStyle w:val="ListParagraph"/>
        <w:numPr>
          <w:ilvl w:val="0"/>
          <w:numId w:val="2"/>
        </w:numPr>
      </w:pPr>
      <w:r>
        <w:rPr>
          <w:rFonts w:ascii="DM Sans" w:cs="DM Sans" w:eastAsia="DM Sans" w:hAnsi="DM Sans"/>
          <w:color w:val="14213D"/>
          <w:sz w:val="22"/>
          <w:szCs w:val="22"/>
        </w:rPr>
        <w:t xml:space="preserve">een opdrachtblad opstellen dat scope, mandaat en exitcriteria van een architectuuropdracht vastlegt;</w:t>
      </w:r>
    </w:p>
    <w:p>
      <w:pPr>
        <w:pStyle w:val="ListParagraph"/>
        <w:numPr>
          <w:ilvl w:val="0"/>
          <w:numId w:val="2"/>
        </w:numPr>
      </w:pPr>
      <w:r>
        <w:rPr>
          <w:rFonts w:ascii="DM Sans" w:cs="DM Sans" w:eastAsia="DM Sans" w:hAnsi="DM Sans"/>
          <w:color w:val="14213D"/>
          <w:sz w:val="22"/>
          <w:szCs w:val="22"/>
        </w:rPr>
        <w:t xml:space="preserve">de architectuurlevenscyclus van een engagement herkennen en er bewust doorheen navigeren;</w:t>
      </w:r>
    </w:p>
    <w:p>
      <w:pPr>
        <w:pStyle w:val="ListParagraph"/>
        <w:numPr>
          <w:ilvl w:val="0"/>
          <w:numId w:val="2"/>
        </w:numPr>
      </w:pPr>
      <w:r>
        <w:rPr>
          <w:rFonts w:ascii="DM Sans" w:cs="DM Sans" w:eastAsia="DM Sans" w:hAnsi="DM Sans"/>
          <w:color w:val="14213D"/>
          <w:sz w:val="22"/>
          <w:szCs w:val="22"/>
        </w:rPr>
        <w:t xml:space="preserve">uitleggen waarom een slecht afgebakende opdracht dezelfde problemen veroorzaakt als een slecht afgebakend systeem.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11.2 "Sluit je gewoon aan"</w:t>
      </w:r>
    </w:p>
    <w:p>
      <w:pPr>
        <w:spacing w:after="160"/>
      </w:pPr>
      <w:r>
        <w:rPr>
          <w:rFonts w:ascii="DM Sans" w:cs="DM Sans" w:eastAsia="DM Sans" w:hAnsi="DM Sans"/>
          <w:color w:val="14213D"/>
          <w:sz w:val="22"/>
          <w:szCs w:val="22"/>
        </w:rPr>
        <w:t xml:space="preserve">De programmadirecteur van Mutatieplatform, een programma van veertien maanden met vijf teams, vraagt Claudette erbij. De opdracht die ze krijgt: </w:t>
      </w:r>
      <w:r>
        <w:rPr>
          <w:rFonts w:ascii="DM Sans" w:cs="DM Sans" w:eastAsia="DM Sans" w:hAnsi="DM Sans"/>
          <w:i/>
          <w:iCs/>
          <w:color w:val="14213D"/>
          <w:sz w:val="22"/>
          <w:szCs w:val="22"/>
        </w:rPr>
        <w:t xml:space="preserve">"Sluit je gewoon aan bij het programma. Jij bent onze architectuurexpert, dus waar nodig schuif je aan."</w:t>
      </w:r>
    </w:p>
    <w:p>
      <w:pPr>
        <w:spacing w:after="160"/>
      </w:pPr>
      <w:r>
        <w:rPr>
          <w:rFonts w:ascii="DM Sans" w:cs="DM Sans" w:eastAsia="DM Sans" w:hAnsi="DM Sans"/>
          <w:color w:val="14213D"/>
          <w:sz w:val="22"/>
          <w:szCs w:val="22"/>
        </w:rPr>
        <w:t xml:space="preserve">Er is geen opdrachtbrief. Geen beschrijving van wat ze wel en niet mag beslissen. Geen einddatum voor haar betrokkenheid, geen duidelijkheid of ze in dienst is van het hele programma of van één team, en geen antwoord op de vraag wat er gebeurt als haar advies wordt genegeerd.</w:t>
      </w:r>
    </w:p>
    <w:p>
      <w:pPr>
        <w:spacing w:after="80" w:before="200"/>
        <w:jc w:val="center"/>
      </w:pPr>
      <w:r>
        <w:drawing>
          <wp:inline distT="0" distB="0" distL="0" distR="0">
            <wp:extent cx="5715000" cy="3810000"/>
            <wp:effectExtent t="0" r="0" b="0" l="0"/>
            <wp:docPr id="1" name="figuur-11-1" descr="FIGUUR 11-1: Claudette's eerste twee weken in het programma — vijf verschillende teams die haar vijf verschillende dingen vragen, van &quot;kun je deze API even reviewen&quot; tot &quot;kun je het hele datamodel opnieuw ontwerpen&quot;" title="Figuur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11-1</w:t>
      </w:r>
    </w:p>
    <w:p>
      <w:pPr>
        <w:spacing w:after="160"/>
      </w:pPr>
      <w:r>
        <w:rPr>
          <w:rFonts w:ascii="DM Sans" w:cs="DM Sans" w:eastAsia="DM Sans" w:hAnsi="DM Sans"/>
          <w:color w:val="14213D"/>
          <w:sz w:val="22"/>
          <w:szCs w:val="22"/>
        </w:rPr>
        <w:t xml:space="preserve">Binnen twee weken wordt ze door het ene team gevraagd een API te reviewen, door het andere om een compleet nieuw datamodel te ontwerpen, door een derde om een conflict tussen twee productowners te beslechten, en door de programmadirecteur zelf om "gewoon overal een beetje bij te zijn." Ze werkt zestig uur in een week vol losse verzoeken en heeft aan het eind ervan geen idee of ze iets heeft bijgedragen.</w:t>
      </w:r>
    </w:p>
    <w:p>
      <w:pPr>
        <w:spacing w:after="160"/>
      </w:pPr>
      <w:r>
        <w:rPr>
          <w:rFonts w:ascii="DM Sans" w:cs="DM Sans" w:eastAsia="DM Sans" w:hAnsi="DM Sans"/>
          <w:color w:val="14213D"/>
          <w:sz w:val="22"/>
          <w:szCs w:val="22"/>
        </w:rPr>
        <w:t xml:space="preserve">Dit is precies het probleem dat de eerste competentie van het engagement model — services — moet oplossen.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11.3 Een dienst is geen taak</w:t>
      </w:r>
    </w:p>
    <w:p>
      <w:pPr>
        <w:spacing w:after="160"/>
      </w:pPr>
      <w:r>
        <w:rPr>
          <w:rFonts w:ascii="DM Sans" w:cs="DM Sans" w:eastAsia="DM Sans" w:hAnsi="DM Sans"/>
          <w:color w:val="14213D"/>
          <w:sz w:val="22"/>
          <w:szCs w:val="22"/>
        </w:rPr>
        <w:t xml:space="preserve">De BoK behandelt het engagement model als het raamwerk waarmee architectuur zich als dienst organiseert: services, assignment, architectuurlevenscyclus. De kern: </w:t>
      </w:r>
      <w:r>
        <w:rPr>
          <w:rFonts w:ascii="DM Sans" w:cs="DM Sans" w:eastAsia="DM Sans" w:hAnsi="DM Sans"/>
          <w:b/>
          <w:bCs/>
          <w:color w:val="14213D"/>
          <w:sz w:val="22"/>
          <w:szCs w:val="22"/>
        </w:rPr>
        <w:t xml:space="preserve">een dienst heeft een omschreven vorm, een taak niet.</w:t>
      </w:r>
    </w:p>
    <w:p>
      <w:pPr>
        <w:spacing w:after="160"/>
      </w:pPr>
      <w:r>
        <w:rPr>
          <w:rFonts w:ascii="DM Sans" w:cs="DM Sans" w:eastAsia="DM Sans" w:hAnsi="DM Sans"/>
          <w:color w:val="14213D"/>
          <w:sz w:val="22"/>
          <w:szCs w:val="22"/>
        </w:rPr>
        <w:t xml:space="preserve">Het verschil is niet semantisch. Een taak ("review deze API") is een eenmalige actie zonder herhaalbare structuur. Een dienst ("architectuurreview op koppelvlakken vóór oplevering") is een herhaalbare belofte met een vaste vorm: wie vraagt het aan, wat levert het op, hoe lang duurt het, wat gebeurt er met de uitkomst.</w:t>
      </w:r>
    </w:p>
    <w:p>
      <w:pPr>
        <w:spacing w:after="80" w:before="200"/>
        <w:jc w:val="center"/>
      </w:pPr>
      <w:r>
        <w:drawing>
          <wp:inline distT="0" distB="0" distL="0" distR="0">
            <wp:extent cx="5715000" cy="3810000"/>
            <wp:effectExtent t="0" r="0" b="0" l="0"/>
            <wp:docPr id="1" name="figuur-11-2" descr="FIGUUR 11-2: Claudette's vijf losse verzoeken uit 11.2, hergroepeerd tot drie diensten — architectuurreview, ontwerpbegeleiding, en escalatie bij technische conflicten" title="Figuur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11-2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Losse taak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Hergroepeerd tot dienst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Vaste 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"Review deze API"</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Architectuurreview</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binnen twee werkdagen, gestructureerde bevindingen, geen blokkaderecht (koppel aan deel 1: bouw dingen, bestuur geen dingen)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"Ontwerp het datamodel"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Ontwerpbegeleiding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apart, afgebakend traject met eigen scope- en contextdiagram (deel 6), geen bijklus naast andere diensten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"Beslecht dit conflict"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Technische escalatie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bij een vastgelopen technisch meningsverschil, met een vastgelegd besluit (deel 7), niet voor elk meningsverschil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"Wees er gewoon bij"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(geen dienst — dit wordt geweigerd of omgezet)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aanwezigheidsverzoek zonder omschreven bijdrage is geen dienst en verdient geen plek in de agenda</w:t>
            </w:r>
          </w:p>
        </w:tc>
      </w:tr>
    </w:tbl>
    <w:p>
      <w:pPr>
        <w:spacing w:after="160"/>
      </w:pPr>
    </w:p>
    <w:p>
      <w:pPr>
        <w:spacing w:after="160"/>
      </w:pPr>
      <w:r>
        <w:rPr>
          <w:rFonts w:ascii="DM Sans" w:cs="DM Sans" w:eastAsia="DM Sans" w:hAnsi="DM Sans"/>
          <w:color w:val="14213D"/>
          <w:sz w:val="22"/>
          <w:szCs w:val="22"/>
        </w:rPr>
        <w:t xml:space="preserve">De vierde rij is de belangrijkste. Niet elk verzoek hoort een dienst te worden. Sommige verzoeken zijn symptomen van een organisatie die architectuur als aanwezigheid ziet in plaats van als bijdrage — en die moet je herkennen en beleefd afwijzen, niet inpassen.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11.4 Het opdrachtblad</w:t>
      </w:r>
    </w:p>
    <w:p>
      <w:pPr>
        <w:spacing w:after="160"/>
      </w:pPr>
      <w:r>
        <w:rPr>
          <w:rFonts w:ascii="DM Sans" w:cs="DM Sans" w:eastAsia="DM Sans" w:hAnsi="DM Sans"/>
          <w:color w:val="14213D"/>
          <w:sz w:val="22"/>
          <w:szCs w:val="22"/>
        </w:rPr>
        <w:t xml:space="preserve">Om diensten expliciet te maken vóór ze beginnen, gebruiken we een vast document: het opdrachtblad. Waar het verdienmodelblad (deel 2) de organisatie afbakent en het scope- en contextdiagram (deel 6) een systeem afbakent, bakent het opdrachtblad de opdracht zelf af.</w:t>
      </w:r>
    </w:p>
    <w:p>
      <w:pPr>
        <w:spacing w:after="80" w:before="200"/>
        <w:jc w:val="center"/>
      </w:pPr>
      <w:r>
        <w:drawing>
          <wp:inline distT="0" distB="0" distL="0" distR="0">
            <wp:extent cx="5715000" cy="3810000"/>
            <wp:effectExtent t="0" r="0" b="0" l="0"/>
            <wp:docPr id="1" name="figuur-11-3" descr="FIGUUR 11-3: het opdrachtblad — zeven velden, ingevuld voor Claudette's rol binnen Mutatieplatform" title="Figuur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11-3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Bij Claudette (herzien)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Opdrachtgever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vraagt dit, en wie kan het beëindigen?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programmadirecteur, niet de individuele teams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Type dienst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advies, ontwerp, toetsing, of bouw?</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mix van drie afgebakende diensten (zie 11.3), expliciet geen "bouw"</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Scope en doorlooptijd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valt erbinnen, wat niet, en tot wanneer?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vijf teams van Mutatieplatform, voor de duur van het programma (14 maanden)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"goed" betekent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wordt succes gemeten?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minder herbouw door late ontwerpfouten, gemeten via het aantal architectuurgerelateerde herstelacties per kwartaal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ze wel mag beslissen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 heeft ze doorzettingsmacht?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niets — ze adviseert, het team beslist (koppel aan deel 2: jij levert de feiten en de opties)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ze niet mag beslissen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 ligt de grens van haar mandaat?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teamplanning, prioritering, personele zaken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Exitcriteria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is de opdracht voorbij of aan herziening toe?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oplevering van het programma, of eerder als de rol zich niet houdbaar blijkt</w:t>
            </w:r>
          </w:p>
        </w:tc>
      </w:tr>
    </w:tbl>
    <w:p>
      <w:pPr>
        <w:spacing w:after="160"/>
      </w:pPr>
    </w:p>
    <w:p>
      <w:pPr>
        <w:spacing w:after="160"/>
      </w:pPr>
      <w:r>
        <w:rPr>
          <w:rFonts w:ascii="DM Sans" w:cs="DM Sans" w:eastAsia="DM Sans" w:hAnsi="DM Sans"/>
          <w:color w:val="14213D"/>
          <w:sz w:val="22"/>
          <w:szCs w:val="22"/>
        </w:rPr>
        <w:t xml:space="preserve">Vergelijk dit met het besluitenlogboek uit deel 7: net als daar is het laatste veld — exitcriteria — het veld dat het verschil maakt. Zonder een exitmoment wordt een tijdelijke opdracht stilzwijgend permanent, en verliest niemand meer de vraag of de dienst nog steeds waarde levert.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11.5 De architectuurlevenscyclus</w:t>
      </w:r>
    </w:p>
    <w:p>
      <w:pPr>
        <w:spacing w:after="160"/>
      </w:pPr>
      <w:r>
        <w:rPr>
          <w:rFonts w:ascii="DM Sans" w:cs="DM Sans" w:eastAsia="DM Sans" w:hAnsi="DM Sans"/>
          <w:color w:val="14213D"/>
          <w:sz w:val="22"/>
          <w:szCs w:val="22"/>
        </w:rPr>
        <w:t xml:space="preserve">De derde competentie in dit deel plaatst het opdrachtblad in een grotere beweging: elke architectuuropdracht doorloopt een levenscyclus, en de meeste problemen ontstaan doordat mensen niet weten in welke fase ze zitten.</w:t>
      </w:r>
    </w:p>
    <w:p>
      <w:pPr>
        <w:spacing w:after="80" w:before="200"/>
        <w:jc w:val="center"/>
      </w:pPr>
      <w:r>
        <w:drawing>
          <wp:inline distT="0" distB="0" distL="0" distR="0">
            <wp:extent cx="5715000" cy="3810000"/>
            <wp:effectExtent t="0" r="0" b="0" l="0"/>
            <wp:docPr id="1" name="figuur-11-4" descr="FIGUUR 11-4: de architectuurlevenscyclus als cirkel — instroom, verkenning, definitie, levering, borging, evaluatie/afronding" title="Figuur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11-4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Fase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gebeurt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Het risico als je de fase mist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Instroom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vraag komt binnen, vaak vaag (zoals bij Claudette)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begint te werken vóórdat er een opdrachtblad ligt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Verkenning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scope, stakeholders en requirements in kaart (deel 4, 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ontwerpt een oplossing voor een probleem dat niet is onderzocht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Definitie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opdrachtblad wordt vastgesteld en gedeeld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opdracht blijft impliciet, iedereen vult zelf in wat ze verwachten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Levering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eigenlijke werk — reviews, ontwerpen, escalaties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zonder de voorgaande fasen weet niemand wanneer dit "genoeg" 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Borging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werk wordt overgedragen, vastgelegd (deel 7), of ingebed als gewoonte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opdracht eindigt zonder dat de organisatie er iets van heeft geleerd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Evaluatie/afronding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exitcriterium wordt getoetst: doorgaan, aanpassen, of stoppen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opdracht loopt stilzwijgend door, ook als niemand meer weet waarom</w:t>
            </w:r>
          </w:p>
        </w:tc>
      </w:tr>
    </w:tbl>
    <w:p>
      <w:pPr>
        <w:spacing w:after="160"/>
      </w:pPr>
    </w:p>
    <w:p>
      <w:pPr>
        <w:spacing w:after="160"/>
      </w:pPr>
      <w:r>
        <w:rPr>
          <w:rFonts w:ascii="DM Sans" w:cs="DM Sans" w:eastAsia="DM Sans" w:hAnsi="DM Sans"/>
          <w:color w:val="14213D"/>
          <w:sz w:val="22"/>
          <w:szCs w:val="22"/>
        </w:rPr>
        <w:t xml:space="preserve">Claudette's probleem in 11.2 is een instroom zonder verkenning of definitie: ze werd direct de leveringsfase ingeduwd, met vijf ongerelateerde taken, zonder dat er ooit een opdrachtblad is opgesteld. Dat is niet uitzonderlijk — het is de meest voorkomende manier waarop architectuuropdrachten in de praktijk ontstaan.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11.6 Het gesprek met de programmadirecteur</w:t>
      </w:r>
    </w:p>
    <w:p>
      <w:pPr>
        <w:spacing w:after="160"/>
      </w:pPr>
      <w:r>
        <w:rPr>
          <w:rFonts w:ascii="DM Sans" w:cs="DM Sans" w:eastAsia="DM Sans" w:hAnsi="DM Sans"/>
          <w:color w:val="14213D"/>
          <w:sz w:val="22"/>
          <w:szCs w:val="22"/>
        </w:rPr>
        <w:t xml:space="preserve">Claudette vraagt een uur met de programmadirecteur, niet om te klagen maar om het opdrachtblad samen in te vullen. Ze presenteert het niet als eis maar — in de taal van deel 8 — als keuzemenu: zonder afgebakende diensten blijft ze zestig uur per week besteden aan losse verzoeken zonder meetbaar effect; met drie afgebakende diensten kan ze aantoonbaar bijdragen aan minder herstelwerk, tegen een voorspelbare tijdsbesteding.</w:t>
      </w:r>
    </w:p>
    <w:p>
      <w:pPr>
        <w:spacing w:after="160"/>
      </w:pPr>
      <w:r>
        <w:rPr>
          <w:rFonts w:ascii="DM Sans" w:cs="DM Sans" w:eastAsia="DM Sans" w:hAnsi="DM Sans"/>
          <w:color w:val="14213D"/>
          <w:sz w:val="22"/>
          <w:szCs w:val="22"/>
        </w:rPr>
        <w:t xml:space="preserve">De programmadirecteur stemt in met twee van de drie diensten (architectuurreview en ontwerpbegeleiding) en vraagt om de derde (technische escalatie) apart te bespreken met de vijf teamleads — een verstandige aanpassing, want escalatie raakt hun mandaat rechtstreeks. Dat is precies hoe een opdrachtblad hoort te werken: niet een document dat ze eenzijdig oplegt, maar een gespreksstarter die de diensten expliciet en onderhandelbaar maakt, zoals de onderhandelruimte uit deel 5 al leerde.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11.7 Wat er nog moet gebeuren</w:t>
      </w:r>
    </w:p>
    <w:p>
      <w:pPr>
        <w:spacing w:after="160"/>
      </w:pPr>
      <w:r>
        <w:rPr>
          <w:rFonts w:ascii="DM Sans" w:cs="DM Sans" w:eastAsia="DM Sans" w:hAnsi="DM Sans"/>
          <w:color w:val="14213D"/>
          <w:sz w:val="22"/>
          <w:szCs w:val="22"/>
        </w:rPr>
        <w:t xml:space="preserve">Met het opdrachtblad ondertekend, is Claudette's rol binnen Mutatieplatform voor het eerst expliciet. Wat nog ontbreekt, is de vraag die de rest van niveau 2 beantwoordt: hoe verhoudt ze zich tot de mensen die het programma daadwerkelijk gebruiken (Digital Customer, deel 12), tot de bredere organisatiestrategie (Digital Business, deel 13), en tot de cultuur en het operationele ritme van het programma zelf (Digital Employee en Digital Operations, deel 14)?</w:t>
      </w:r>
    </w:p>
    <w:p>
      <w:pPr>
        <w:spacing w:after="160"/>
      </w:pPr>
      <w:r>
        <w:rPr>
          <w:rFonts w:ascii="DM Sans" w:cs="DM Sans" w:eastAsia="DM Sans" w:hAnsi="DM Sans"/>
          <w:color w:val="14213D"/>
          <w:sz w:val="22"/>
          <w:szCs w:val="22"/>
        </w:rPr>
        <w:t xml:space="preserve">Dat zijn de drie delen die volgen, en samen vormen ze het volledige engagement model waarvan dit deel het fundament — de dienst zelf — heeft gelegd.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11.8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Dienst versus taak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dienst heeft een herhaalbare, omschreven vorm; een taak is een eenmalige actie zonder structuur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Opdrachtblad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Ductus-werkvorm: zeven velden — opdrachtgever, type dienst, scope/doorlooptijd, wat "goed" betekent, wel/niet mandaat, exitcriteria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Architectuurlevenscyclus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instroom, verkenning, definitie, levering, borging, evaluatie/afronding — elke fase heeft een eigen risico als hij wordt overgeslagen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Aanwezigheidsverzoek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verzoek zonder omschreven bijdrage; geen dienst en verdient geen plek in de agenda</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12 — Digital Customer. Wie zijn de mensen aan het eind van het Mutatieplatform, en hoe blijft hun ervaring zichtbaar in een programma van vijf teams?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d94ecc93c9ea1833509c53d3894fef3805020c.png"/><Relationship Id="rId10" Type="http://schemas.openxmlformats.org/officeDocument/2006/relationships/image" Target="media/66171d74d83cd502e2a1df69da9ffe49cf1f01a2.png"/><Relationship Id="rId11" Type="http://schemas.openxmlformats.org/officeDocument/2006/relationships/image" Target="media/98c0b716216adbd14188769bb327e2e101959c6e.png"/><Relationship Id="rId12" Type="http://schemas.openxmlformats.org/officeDocument/2006/relationships/image" Target="media/f8a4463c51a5f7d1d4180b2897c99a4bf6d1f2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2026-08-17T16:44:36.303Z</dcterms:created>
  <dcterms:modified xsi:type="dcterms:W3CDTF">2026-08-17T16:44:36.303Z</dcterms:modified>
</cp:coreProperties>
</file>

<file path=docProps/custom.xml><?xml version="1.0" encoding="utf-8"?>
<Properties xmlns="http://schemas.openxmlformats.org/officeDocument/2006/custom-properties" xmlns:vt="http://schemas.openxmlformats.org/officeDocument/2006/docPropsVTypes"/>
</file>