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12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12 — Digital Customer</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Het ecosysteem in kaart</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Kies een klant- of gebruikersgroep uit je eigen werk. Breng minimaal vijf partijen in het ecosysteem in kaart die zelf geen klant zijn maar wel invloed hebben op de ervaring. Voor elk: wat is het raakvlak, en is deze partij ooit expliciet als stakeholder benoemd in een project?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De klantreiskaart</w:t>
      </w:r>
    </w:p>
    <w:p>
      <w:pPr>
        <w:spacing w:after="200"/>
        <w:jc w:val="center"/>
      </w:pPr>
      <w:r>
        <w:rPr>
          <w:rFonts w:ascii="DM Sans" w:cs="DM Sans" w:eastAsia="DM Sans" w:hAnsi="DM Sans"/>
          <w:i/>
          <w:iCs/>
          <w:color w:val="55606F"/>
          <w:sz w:val="22"/>
          <w:szCs w:val="22"/>
        </w:rPr>
        <w:t xml:space="preserve">In tweetallen, 25 minuten</w:t>
      </w:r>
    </w:p>
    <w:p>
      <w:pPr>
        <w:spacing w:after="160"/>
      </w:pPr>
      <w:r>
        <w:rPr>
          <w:rFonts w:ascii="DM Sans" w:cs="DM Sans" w:eastAsia="DM Sans" w:hAnsi="DM Sans"/>
          <w:color w:val="14213D"/>
          <w:sz w:val="22"/>
          <w:szCs w:val="22"/>
        </w:rPr>
        <w:t xml:space="preserve">Teken (op papier of digitaal) een klantreis uit je eigen werk als horizontale tijdlijn, met de bouwende teams of afdelingen eronder gelaagd. Markeer elke plek waar de tijdlijn een teamgrens kruist. Voor elk breukpunt: is dit al eens fout gegaan, of is het een risico dat nog niet is opgetreden?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Binnen of buiten de kaders</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elk van de volgende voorstellen: is dit innoveren binnen kaders (het team beslist zelf) of buiten kaders (het programma als geheel moet het bespreken)?</w:t>
      </w:r>
    </w:p>
    <w:p>
      <w:pPr>
        <w:pStyle w:val="ListParagraph"/>
        <w:numPr>
          <w:ilvl w:val="0"/>
          <w:numId w:val="2"/>
        </w:numPr>
      </w:pPr>
      <w:r>
        <w:rPr>
          <w:rFonts w:ascii="DM Sans" w:cs="DM Sans" w:eastAsia="DM Sans" w:hAnsi="DM Sans"/>
          <w:color w:val="14213D"/>
          <w:sz w:val="22"/>
          <w:szCs w:val="22"/>
        </w:rPr>
        <w:t xml:space="preserve">Een team voegt een extra validatiestap toe aan zijn eigen formulier</w:t>
      </w:r>
    </w:p>
    <w:p>
      <w:pPr>
        <w:pStyle w:val="ListParagraph"/>
        <w:numPr>
          <w:ilvl w:val="0"/>
          <w:numId w:val="2"/>
        </w:numPr>
      </w:pPr>
      <w:r>
        <w:rPr>
          <w:rFonts w:ascii="DM Sans" w:cs="DM Sans" w:eastAsia="DM Sans" w:hAnsi="DM Sans"/>
          <w:color w:val="14213D"/>
          <w:sz w:val="22"/>
          <w:szCs w:val="22"/>
        </w:rPr>
        <w:t xml:space="preserve">Een team stelt voor de volgorde van de hele intake te herzien</w:t>
      </w:r>
    </w:p>
    <w:p>
      <w:pPr>
        <w:pStyle w:val="ListParagraph"/>
        <w:numPr>
          <w:ilvl w:val="0"/>
          <w:numId w:val="2"/>
        </w:numPr>
      </w:pPr>
      <w:r>
        <w:rPr>
          <w:rFonts w:ascii="DM Sans" w:cs="DM Sans" w:eastAsia="DM Sans" w:hAnsi="DM Sans"/>
          <w:color w:val="14213D"/>
          <w:sz w:val="22"/>
          <w:szCs w:val="22"/>
        </w:rPr>
        <w:t xml:space="preserve">Een team verbetert de foutmelding die het zelf toont bij een mislukte actie</w:t>
      </w:r>
    </w:p>
    <w:p>
      <w:pPr>
        <w:pStyle w:val="ListParagraph"/>
        <w:numPr>
          <w:ilvl w:val="0"/>
          <w:numId w:val="2"/>
        </w:numPr>
      </w:pPr>
      <w:r>
        <w:rPr>
          <w:rFonts w:ascii="DM Sans" w:cs="DM Sans" w:eastAsia="DM Sans" w:hAnsi="DM Sans"/>
          <w:color w:val="14213D"/>
          <w:sz w:val="22"/>
          <w:szCs w:val="22"/>
        </w:rPr>
        <w:t xml:space="preserve">Een team wil een nieuw kanaal toevoegen (WhatsApp) voor contact met de deelnemer</w:t>
      </w:r>
    </w:p>
    <w:p>
      <w:pPr>
        <w:pStyle w:val="ListParagraph"/>
        <w:numPr>
          <w:ilvl w:val="0"/>
          <w:numId w:val="2"/>
        </w:numPr>
      </w:pPr>
      <w:r>
        <w:rPr>
          <w:rFonts w:ascii="DM Sans" w:cs="DM Sans" w:eastAsia="DM Sans" w:hAnsi="DM Sans"/>
          <w:color w:val="14213D"/>
          <w:sz w:val="22"/>
          <w:szCs w:val="22"/>
        </w:rPr>
        <w:t xml:space="preserve">Een team versnelt zijn eigen laadtijd met 30%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lichte governance-voorstel</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Schrijf, naar het voorbeeld van Claudette in 12.6, een kort voorstel (max. 100 woorden) voor een lichte, terugkerende afspraak die breukpunten in jouw eigen werkomgeving proactief zou agenderen — zonder een nieuwe goedkeuringslaag te creëren.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Het ecosysteem in kaart</w:t>
      </w:r>
    </w:p>
    <w:p>
      <w:pPr>
        <w:spacing w:after="160"/>
      </w:pPr>
      <w:r>
        <w:rPr>
          <w:rFonts w:ascii="DM Sans" w:cs="DM Sans" w:eastAsia="DM Sans" w:hAnsi="DM Sans"/>
          <w:color w:val="14213D"/>
          <w:sz w:val="22"/>
          <w:szCs w:val="22"/>
        </w:rPr>
        <w:t xml:space="preserve">Geen modelantwoord. Veelvoorkomende bevinding: minstens twee van de vijf gevonden partijen blijken nooit expliciet benoemd in eerdere projectdocumentatie — vaak partijen die "vanzelfsprekend" leken (zoals de financieel adviseur in de reader) en juist daarom nooit op een stakeholderlijst kwamen.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De klantreiskaart</w:t>
      </w:r>
    </w:p>
    <w:p>
      <w:pPr>
        <w:spacing w:after="160"/>
      </w:pPr>
      <w:r>
        <w:rPr>
          <w:rFonts w:ascii="DM Sans" w:cs="DM Sans" w:eastAsia="DM Sans" w:hAnsi="DM Sans"/>
          <w:color w:val="14213D"/>
          <w:sz w:val="22"/>
          <w:szCs w:val="22"/>
        </w:rPr>
        <w:t xml:space="preserve">Geen modelantwoord. Beoordeel op: zijn de breukpunten concreet (een specifieke overgang tussen twee specifieke teams) of vaag ("er kan wel eens iets misgaan")? Een goed breukpunt is net zo specifiek als het rekendatum-voorbeeld uit de reader: twee teams, twee aannames, geen van beide fout op zichzelf.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Binnen of buiten de kaders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Voorstel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Binnen of buiten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Extra validatiestap in eigen formulier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 raakt alleen het eigen team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Volgorde van de hele intake herzien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Buiten</w:t>
            </w:r>
            <w:r>
              <w:rPr>
                <w:rFonts w:ascii="DM Sans" w:cs="DM Sans" w:eastAsia="DM Sans" w:hAnsi="DM Sans"/>
                <w:color w:val="14213D"/>
                <w:sz w:val="22"/>
                <w:szCs w:val="22"/>
              </w:rPr>
              <w:t xml:space="preserve"> — raakt de klantreis die door meerdere teams loopt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 foutmelding verbeteren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Binnen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 kanaal (WhatsApp) toevoegen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Buiten</w:t>
            </w:r>
            <w:r>
              <w:rPr>
                <w:rFonts w:ascii="DM Sans" w:cs="DM Sans" w:eastAsia="DM Sans" w:hAnsi="DM Sans"/>
                <w:color w:val="14213D"/>
                <w:sz w:val="22"/>
                <w:szCs w:val="22"/>
              </w:rPr>
              <w:t xml:space="preserve"> — een nieuw kanaal raakt de hele klantreis, niet alleen één team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 laadtijd met 30% versnellen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Binnen</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Voorstellen die alleen de interne werking van één team raken, blijven binnen kaders. Zodra een voorstel de vorm, volgorde of kanalen van de klantervaring zelf verandert — ook als het technisch maar één team kost om te bouwen — wordt het een programmabrede vraag.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lichte governance-voorstel</w:t>
      </w:r>
    </w:p>
    <w:p>
      <w:pPr>
        <w:spacing w:after="160"/>
      </w:pPr>
      <w:r>
        <w:rPr>
          <w:rFonts w:ascii="DM Sans" w:cs="DM Sans" w:eastAsia="DM Sans" w:hAnsi="DM Sans"/>
          <w:color w:val="14213D"/>
          <w:sz w:val="22"/>
          <w:szCs w:val="22"/>
        </w:rPr>
        <w:t xml:space="preserve">Voorbeeldantwoord (87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Voorstel: elke vier weken een half uur waarin alle teamleads de klantreiskaart samen bijwerken en nieuwe breukpunten bespreken. Geen goedkeuringsproces, geen extra documentatie — alleen het gedeelde beeld actueel houden.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kost dertig minuten per team per maand. Het voorkomt incidenten zoals het rekendatumverschil, waarbij twee teams onafhankelijk correct bouwden maar de combinatie een deelnemer in verwarring bracht.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stel voor dit twee maanden te proberen en dan te evalueren of het blijft.</w:t>
      </w:r>
    </w:p>
    <w:p>
      <w:pPr>
        <w:spacing w:after="160"/>
      </w:pPr>
      <w:r>
        <w:rPr>
          <w:rFonts w:ascii="DM Sans" w:cs="DM Sans" w:eastAsia="DM Sans" w:hAnsi="DM Sans"/>
          <w:b/>
          <w:bCs/>
          <w:color w:val="14213D"/>
          <w:sz w:val="22"/>
          <w:szCs w:val="22"/>
        </w:rPr>
        <w:t xml:space="preserve">Beoordelingscriterium.</w:t>
      </w:r>
      <w:r>
        <w:rPr>
          <w:rFonts w:ascii="DM Sans" w:cs="DM Sans" w:eastAsia="DM Sans" w:hAnsi="DM Sans"/>
          <w:color w:val="14213D"/>
          <w:sz w:val="22"/>
          <w:szCs w:val="22"/>
        </w:rPr>
        <w:t xml:space="preserve"> Net als bij eerdere voorstellen in deze cursus (deel 7 en deel 11) werkt een klein, tijdelijk, licht voorstel beter dan een permanente nieuwe governancelaag — en het past bij de tenet "bouw dingen, bestuur geen dingen" uit deel 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2026-08-17T16:44:36.495Z</dcterms:created>
  <dcterms:modified xsi:type="dcterms:W3CDTF">2026-08-17T16:44:36.495Z</dcterms:modified>
</cp:coreProperties>
</file>

<file path=docProps/custom.xml><?xml version="1.0" encoding="utf-8"?>
<Properties xmlns="http://schemas.openxmlformats.org/officeDocument/2006/custom-properties" xmlns:vt="http://schemas.openxmlformats.org/officeDocument/2006/docPropsVTypes"/>
</file>