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17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17 — Operating model I</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17.1 Waar dit deel over gaat</w:t>
      </w:r>
    </w:p>
    <w:p>
      <w:pPr>
        <w:spacing w:after="160"/>
      </w:pPr>
      <w:r>
        <w:rPr>
          <w:rFonts w:ascii="DM Sans" w:cs="DM Sans" w:eastAsia="DM Sans" w:hAnsi="DM Sans"/>
          <w:color w:val="14213D"/>
          <w:sz w:val="22"/>
          <w:szCs w:val="22"/>
        </w:rPr>
        <w:t xml:space="preserve">Vanaf dit deel verschuift de aandacht van eenmalige instrumenten naar doorlopend ritme. Het besluitenlogboek uit deel 7 werkte voor één besluit. De stakeholderkaart uit deel 4 werkte voor één opdracht. Dit deel behandelt wat er gebeurt als die instrumenten dagelijks, door drie architecten tegelijk, over vijf teams heen worden gebruikt — en hoe je voorkomt dat ze verwateren tot een formaliteit die niemand meer serieus invult.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besluitenlogboek beheren dat door meerdere mensen tegelijk wordt gevuld, zonder dat het chaotisch wordt;</w:t>
      </w:r>
    </w:p>
    <w:p>
      <w:pPr>
        <w:pStyle w:val="ListParagraph"/>
        <w:numPr>
          <w:ilvl w:val="0"/>
          <w:numId w:val="2"/>
        </w:numPr>
      </w:pPr>
      <w:r>
        <w:rPr>
          <w:rFonts w:ascii="DM Sans" w:cs="DM Sans" w:eastAsia="DM Sans" w:hAnsi="DM Sans"/>
          <w:color w:val="14213D"/>
          <w:sz w:val="22"/>
          <w:szCs w:val="22"/>
        </w:rPr>
        <w:t xml:space="preserve">een patroon herkennen, documenteren en hergebruiken in plaats van elke keer opnieuw uit te vinden;</w:t>
      </w:r>
    </w:p>
    <w:p>
      <w:pPr>
        <w:pStyle w:val="ListParagraph"/>
        <w:numPr>
          <w:ilvl w:val="0"/>
          <w:numId w:val="2"/>
        </w:numPr>
      </w:pPr>
      <w:r>
        <w:rPr>
          <w:rFonts w:ascii="DM Sans" w:cs="DM Sans" w:eastAsia="DM Sans" w:hAnsi="DM Sans"/>
          <w:color w:val="14213D"/>
          <w:sz w:val="22"/>
          <w:szCs w:val="22"/>
        </w:rPr>
        <w:t xml:space="preserve">requirements bijhouden die gedurende een lang programma blijven veranderen;</w:t>
      </w:r>
    </w:p>
    <w:p>
      <w:pPr>
        <w:pStyle w:val="ListParagraph"/>
        <w:numPr>
          <w:ilvl w:val="0"/>
          <w:numId w:val="2"/>
        </w:numPr>
      </w:pPr>
      <w:r>
        <w:rPr>
          <w:rFonts w:ascii="DM Sans" w:cs="DM Sans" w:eastAsia="DM Sans" w:hAnsi="DM Sans"/>
          <w:color w:val="14213D"/>
          <w:sz w:val="22"/>
          <w:szCs w:val="22"/>
        </w:rPr>
        <w:t xml:space="preserve">de stakeholderkaart onderhouden als een programma vordert, niet alleen bij de start.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17.2 Drie architecten, drie logboeken</w:t>
      </w:r>
    </w:p>
    <w:p>
      <w:pPr>
        <w:spacing w:after="160"/>
      </w:pPr>
      <w:r>
        <w:rPr>
          <w:rFonts w:ascii="DM Sans" w:cs="DM Sans" w:eastAsia="DM Sans" w:hAnsi="DM Sans"/>
          <w:color w:val="14213D"/>
          <w:sz w:val="22"/>
          <w:szCs w:val="22"/>
        </w:rPr>
        <w:t xml:space="preserve">Zes maanden na de invoering van het besluitenlogboek in deel 7 en 9 blijkt er een nieuw probleem: elk van de drie architecten bij Meridiaan houdt zijn eigen logboek bij, in zijn eigen formaat, op zijn eigen plek. Toen Claudette in deel 9 het besluit over het koppelvlakpatroon zocht, kon ze het vinden omdat ze het zelf had geschreven. Een van haar collega's, die onlangs een vergelijkbaar besluit moest nemen voor een ander koppelvlak, wist niet dat dat besluit al bestond en heeft het patroon opnieuw uitgevonden — net iets anders, met een net iets andere aanpak.</w:t>
      </w:r>
    </w:p>
    <w:p>
      <w:pPr>
        <w:spacing w:after="80" w:before="200"/>
        <w:jc w:val="center"/>
      </w:pPr>
      <w:r>
        <w:drawing>
          <wp:inline distT="0" distB="0" distL="0" distR="0">
            <wp:extent cx="5715000" cy="3810000"/>
            <wp:effectExtent t="0" r="0" b="0" l="0"/>
            <wp:docPr id="1" name="figuur-17-1" descr="FIGUUR 17-1: twee bijna identieke koppelvlakpatronen naast elkaar, onafhankelijk ontstaan omdat het eerste besluit nooit werd teruggevonden" title="Figuur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17-1</w:t>
      </w:r>
    </w:p>
    <w:p>
      <w:pPr>
        <w:spacing w:after="160"/>
      </w:pPr>
      <w:r>
        <w:rPr>
          <w:rFonts w:ascii="DM Sans" w:cs="DM Sans" w:eastAsia="DM Sans" w:hAnsi="DM Sans"/>
          <w:color w:val="14213D"/>
          <w:sz w:val="22"/>
          <w:szCs w:val="22"/>
        </w:rPr>
        <w:t xml:space="preserve">Dit is geen falen van het besluitenlogboek als idee. Het is wat er gebeurt als een instrument dat voor één persoon werkte, niet is voorbereid op meerdere gebruikers.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17.3 Besluiten: één gedeeld logboek, niet drie losse</w:t>
      </w:r>
    </w:p>
    <w:p>
      <w:pPr>
        <w:spacing w:after="160"/>
      </w:pPr>
      <w:r>
        <w:rPr>
          <w:rFonts w:ascii="DM Sans" w:cs="DM Sans" w:eastAsia="DM Sans" w:hAnsi="DM Sans"/>
          <w:color w:val="14213D"/>
          <w:sz w:val="22"/>
          <w:szCs w:val="22"/>
        </w:rPr>
        <w:t xml:space="preserve">De eerste competentie in dit deel is een organisatorische correctie, geen nieuw instrument: het besluitenlogboek uit deel 7 wordt één gedeeld register in plaats van drie persoonlijke bestanden.</w:t>
      </w:r>
    </w:p>
    <w:p>
      <w:pPr>
        <w:spacing w:after="80" w:before="200"/>
        <w:jc w:val="center"/>
      </w:pPr>
      <w:r>
        <w:drawing>
          <wp:inline distT="0" distB="0" distL="0" distR="0">
            <wp:extent cx="5715000" cy="3810000"/>
            <wp:effectExtent t="0" r="0" b="0" l="0"/>
            <wp:docPr id="1" name="figuur-17-2" descr="FIGUUR 17-2: het gedeelde besluitenlogboek als tabel, doorzoekbaar op trefwoord, met de vijf velden uit deel 7 ongewijzigd maar nu met een extra kolom &quot;auteur&quot;" title="Figuur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17-2</w:t>
      </w:r>
    </w:p>
    <w:p>
      <w:pPr>
        <w:spacing w:after="160"/>
      </w:pPr>
      <w:r>
        <w:rPr>
          <w:rFonts w:ascii="DM Sans" w:cs="DM Sans" w:eastAsia="DM Sans" w:hAnsi="DM Sans"/>
          <w:color w:val="14213D"/>
          <w:sz w:val="22"/>
          <w:szCs w:val="22"/>
        </w:rPr>
        <w:t xml:space="preserve">De vijf velden blijven precies zoals in deel 7 — context, alternatieven, besluit, motivering, heroverwegingsmoment. Wat verandert, is de toegankelijkheid: één plek, doorzoekbaar, met een lichte gewoonte om vóór een nieuw besluit eerst te zoeken of het probleem al eerder is opgelost.</w:t>
      </w:r>
    </w:p>
    <w:p>
      <w:pPr>
        <w:spacing w:after="160"/>
      </w:pPr>
      <w:r>
        <w:rPr>
          <w:rFonts w:ascii="DM Sans" w:cs="DM Sans" w:eastAsia="DM Sans" w:hAnsi="DM Sans"/>
          <w:b/>
          <w:bCs/>
          <w:color w:val="14213D"/>
          <w:sz w:val="22"/>
          <w:szCs w:val="22"/>
        </w:rPr>
        <w:t xml:space="preserve">De regel die dit werkbaar houdt: zoek eerst, beslis dan.</w:t>
      </w:r>
      <w:r>
        <w:rPr>
          <w:rFonts w:ascii="DM Sans" w:cs="DM Sans" w:eastAsia="DM Sans" w:hAnsi="DM Sans"/>
          <w:color w:val="14213D"/>
          <w:sz w:val="22"/>
          <w:szCs w:val="22"/>
        </w:rPr>
        <w:t xml:space="preserve"> Geen goedkeuringsproces, geen extra stap die vertraagt — alleen de gewoonte om, vóór je een nieuw architectuurbesluit vastlegt, twee minuten te zoeken of iemand anders dit probleem al eerder heeft opgelost.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17.4 Patronen: van toevallige herhaling naar bewust hergebruik</w:t>
      </w:r>
    </w:p>
    <w:p>
      <w:pPr>
        <w:spacing w:after="160"/>
      </w:pPr>
      <w:r>
        <w:rPr>
          <w:rFonts w:ascii="DM Sans" w:cs="DM Sans" w:eastAsia="DM Sans" w:hAnsi="DM Sans"/>
          <w:color w:val="14213D"/>
          <w:sz w:val="22"/>
          <w:szCs w:val="22"/>
        </w:rPr>
        <w:t xml:space="preserve">De tweede competentie bouwt voort op de ontdekking uit 17.2: als twee architecten onafhankelijk tot bijna hetzelfde koppelvlakpatroon komen, is dat geen toeval maar een signaal dat er een patroon bestaat dat de moeite waard is om te benoemen en te hergebruiken.</w:t>
      </w:r>
    </w:p>
    <w:p>
      <w:pPr>
        <w:spacing w:after="80" w:before="200"/>
        <w:jc w:val="center"/>
      </w:pPr>
      <w:r>
        <w:drawing>
          <wp:inline distT="0" distB="0" distL="0" distR="0">
            <wp:extent cx="5715000" cy="3810000"/>
            <wp:effectExtent t="0" r="0" b="0" l="0"/>
            <wp:docPr id="1" name="figuur-17-3" descr="FIGUUR 17-3: het generieke koppelvlakpatroon uit deel 2 en 9, nu uitgewerkt als patroonkaart met naam, probleem dat het oplost, wanneer het wel en niet past" title="Figuur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17-3</w:t>
      </w:r>
    </w:p>
    <w:p>
      <w:pPr>
        <w:spacing w:after="160"/>
      </w:pPr>
      <w:r>
        <w:rPr>
          <w:rFonts w:ascii="DM Sans" w:cs="DM Sans" w:eastAsia="DM Sans" w:hAnsi="DM Sans"/>
          <w:b/>
          <w:bCs/>
          <w:color w:val="14213D"/>
          <w:sz w:val="22"/>
          <w:szCs w:val="22"/>
        </w:rPr>
        <w:t xml:space="preserve">Het instrument: de patroonkaart.</w:t>
      </w:r>
      <w:r>
        <w:rPr>
          <w:rFonts w:ascii="DM Sans" w:cs="DM Sans" w:eastAsia="DM Sans" w:hAnsi="DM Sans"/>
          <w:color w:val="14213D"/>
          <w:sz w:val="22"/>
          <w:szCs w:val="22"/>
        </w:rPr>
        <w:t xml:space="preserve"> Vier velden, kort gehouden zodat hij ook echt gebruikt wordt: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Naam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herkenbare, korte naam — "generiek koppelvlakpatroon"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Probleem dat het oplost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 één zin: welke terugkerende situatie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Wanneer het past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voorwaarden waaronder dit patroon de juiste keuze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Wanneer het niet past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expliciete uitzonderingen — een patroon dat overal wordt toegepast zonder uitzondering, wordt een dogma in plaats van een hulpmiddel</w:t>
            </w:r>
          </w:p>
        </w:tc>
      </w:tr>
    </w:tbl>
    <w:p>
      <w:pPr>
        <w:spacing w:after="160"/>
      </w:pPr>
    </w:p>
    <w:p>
      <w:pPr>
        <w:spacing w:after="160"/>
      </w:pPr>
      <w:r>
        <w:rPr>
          <w:rFonts w:ascii="DM Sans" w:cs="DM Sans" w:eastAsia="DM Sans" w:hAnsi="DM Sans"/>
          <w:color w:val="14213D"/>
          <w:sz w:val="22"/>
          <w:szCs w:val="22"/>
        </w:rPr>
        <w:t xml:space="preserve">Het vierde veld is, net als bij eerdere instrumenten in deze cursus, het veld dat het verschil maakt. Een patroonbibliotheek zonder "wanneer het niet past" leidt tot precies het soort blind hergebruik dat de BoK-tenet uit deel 1 waarschuwt: specifieke technologieën en stijlen zijn geen competenties, en een patroon dat zonder nadenken wordt toegepast, wordt zelf een technologie in plaats van een afweging.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17.5 Requirements in uitvoering: ze veranderen, en dat is normaal</w:t>
      </w:r>
    </w:p>
    <w:p>
      <w:pPr>
        <w:spacing w:after="160"/>
      </w:pPr>
      <w:r>
        <w:rPr>
          <w:rFonts w:ascii="DM Sans" w:cs="DM Sans" w:eastAsia="DM Sans" w:hAnsi="DM Sans"/>
          <w:color w:val="14213D"/>
          <w:sz w:val="22"/>
          <w:szCs w:val="22"/>
        </w:rPr>
        <w:t xml:space="preserve">De derde competentie corrigeert een aanname uit deel 6 (niveau 1): daar leerde je een requirement scherp vast te leggen vóór je gaat bouwen. In een programma van veertien maanden veranderen requirements onderweg — nieuwe wetgeving, een gewijzigd inzicht, een stakeholder die van gedachten verandert.</w:t>
      </w:r>
    </w:p>
    <w:p>
      <w:pPr>
        <w:spacing w:after="80" w:before="200"/>
        <w:jc w:val="center"/>
      </w:pPr>
      <w:r>
        <w:drawing>
          <wp:inline distT="0" distB="0" distL="0" distR="0">
            <wp:extent cx="5715000" cy="3810000"/>
            <wp:effectExtent t="0" r="0" b="0" l="0"/>
            <wp:docPr id="1" name="figuur-17-4" descr="FIGUUR 17-4: een requirement die drie keer wijzigt gedurende het programma, met bij elke wijziging de reden en het effect op eerder werk" title="Figuur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17-4</w:t>
      </w:r>
    </w:p>
    <w:p>
      <w:pPr>
        <w:spacing w:after="160"/>
      </w:pPr>
      <w:r>
        <w:rPr>
          <w:rFonts w:ascii="DM Sans" w:cs="DM Sans" w:eastAsia="DM Sans" w:hAnsi="DM Sans"/>
          <w:b/>
          <w:bCs/>
          <w:color w:val="14213D"/>
          <w:sz w:val="22"/>
          <w:szCs w:val="22"/>
        </w:rPr>
        <w:t xml:space="preserve">De vraag is niet hoe je wijziging voorkomt, maar hoe je hem beheerst.</w:t>
      </w:r>
      <w:r>
        <w:rPr>
          <w:rFonts w:ascii="DM Sans" w:cs="DM Sans" w:eastAsia="DM Sans" w:hAnsi="DM Sans"/>
          <w:color w:val="14213D"/>
          <w:sz w:val="22"/>
          <w:szCs w:val="22"/>
        </w:rPr>
        <w:t xml:space="preserve"> Voor elke wijziging in een requirement die al is vastgelegd (deel 6):</w:t>
      </w:r>
    </w:p>
    <w:p>
      <w:pPr>
        <w:pStyle w:val="ListParagraph"/>
        <w:numPr>
          <w:ilvl w:val="0"/>
          <w:numId w:val="3"/>
        </w:numPr>
      </w:pPr>
      <w:r>
        <w:rPr>
          <w:rFonts w:ascii="DM Sans" w:cs="DM Sans" w:eastAsia="DM Sans" w:hAnsi="DM Sans"/>
          <w:color w:val="14213D"/>
          <w:sz w:val="22"/>
          <w:szCs w:val="22"/>
        </w:rPr>
        <w:t xml:space="preserve">Wat is er veranderd, en waarom?</w:t>
      </w:r>
    </w:p>
    <w:p>
      <w:pPr>
        <w:pStyle w:val="ListParagraph"/>
        <w:numPr>
          <w:ilvl w:val="0"/>
          <w:numId w:val="3"/>
        </w:numPr>
      </w:pPr>
      <w:r>
        <w:rPr>
          <w:rFonts w:ascii="DM Sans" w:cs="DM Sans" w:eastAsia="DM Sans" w:hAnsi="DM Sans"/>
          <w:color w:val="14213D"/>
          <w:sz w:val="22"/>
          <w:szCs w:val="22"/>
        </w:rPr>
        <w:t xml:space="preserve">Welk eerder werk — ontwerp, besluit, gebouwde functionaliteit — is hierdoor geraakt?</w:t>
      </w:r>
    </w:p>
    <w:p>
      <w:pPr>
        <w:pStyle w:val="ListParagraph"/>
        <w:numPr>
          <w:ilvl w:val="0"/>
          <w:numId w:val="3"/>
        </w:numPr>
      </w:pPr>
      <w:r>
        <w:rPr>
          <w:rFonts w:ascii="DM Sans" w:cs="DM Sans" w:eastAsia="DM Sans" w:hAnsi="DM Sans"/>
          <w:color w:val="14213D"/>
          <w:sz w:val="22"/>
          <w:szCs w:val="22"/>
        </w:rPr>
        <w:t xml:space="preserve">Is dit een aanpassing van de requirement, of het ontstaan van een nieuwe requirement die naast de oude bestaat?</w:t>
      </w:r>
    </w:p>
    <w:p>
      <w:pPr>
        <w:spacing w:after="160"/>
      </w:pPr>
      <w:r>
        <w:rPr>
          <w:rFonts w:ascii="DM Sans" w:cs="DM Sans" w:eastAsia="DM Sans" w:hAnsi="DM Sans"/>
          <w:color w:val="14213D"/>
          <w:sz w:val="22"/>
          <w:szCs w:val="22"/>
        </w:rPr>
        <w:t xml:space="preserve">Vraag 3 is de subtielste. Bij Mutatieplatform verandert de requirement voor de simulatievoorziening (deel 6) wanneer de stelselwet een nieuw scenario verplicht stelt. Dat is geen wijziging van de oorspronkelijke requirement — de oorspronkelijke behoefte ("de deelnemer moet de gevolgen van zijn keuze kunnen beoordelen") blijft onveranderd — maar een uitbreiding van de scope die in deel 6 al was afgebakend. Het onderscheid bepaalt of je het bestaande ontwerp aanpast of een nieuw traject start.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17.6 Stakeholders in uitvoering: de kaart veroudert</w:t>
      </w:r>
    </w:p>
    <w:p>
      <w:pPr>
        <w:spacing w:after="160"/>
      </w:pPr>
      <w:r>
        <w:rPr>
          <w:rFonts w:ascii="DM Sans" w:cs="DM Sans" w:eastAsia="DM Sans" w:hAnsi="DM Sans"/>
          <w:color w:val="14213D"/>
          <w:sz w:val="22"/>
          <w:szCs w:val="22"/>
        </w:rPr>
        <w:t xml:space="preserve">De vierde competentie herinnert aan iets dat vaak wordt vergeten: de stakeholderkaart uit deel 4 werd bij de start van een opdracht gemaakt, maar stakeholders veranderen gedurende een programma van veertien maanden. Mensen vertrekken, nieuwe mensen komen, en — subtieler — iemand die ooit laag invloedrijk was, kan door een reorganisatie ineens hoog invloedrijk worden.</w:t>
      </w:r>
    </w:p>
    <w:p>
      <w:pPr>
        <w:spacing w:after="80" w:before="200"/>
        <w:jc w:val="center"/>
      </w:pPr>
      <w:r>
        <w:drawing>
          <wp:inline distT="0" distB="0" distL="0" distR="0">
            <wp:extent cx="5715000" cy="3810000"/>
            <wp:effectExtent t="0" r="0" b="0" l="0"/>
            <wp:docPr id="1" name="figuur-17-5" descr="FIGUUR 17-5: de stakeholderkaart van deel 11, met een tweede versie zes maanden later ernaast — twee stakeholders zijn van kwadrant veranderd" title="Figuur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17-5</w:t>
      </w:r>
    </w:p>
    <w:p>
      <w:pPr>
        <w:spacing w:after="160"/>
      </w:pPr>
      <w:r>
        <w:rPr>
          <w:rFonts w:ascii="DM Sans" w:cs="DM Sans" w:eastAsia="DM Sans" w:hAnsi="DM Sans"/>
          <w:b/>
          <w:bCs/>
          <w:color w:val="14213D"/>
          <w:sz w:val="22"/>
          <w:szCs w:val="22"/>
        </w:rPr>
        <w:t xml:space="preserve">De gewoonte: de stakeholderkaart is geen startdocument maar een levend document, met een vast hercontrolemoment</w:t>
      </w:r>
      <w:r>
        <w:rPr>
          <w:rFonts w:ascii="DM Sans" w:cs="DM Sans" w:eastAsia="DM Sans" w:hAnsi="DM Sans"/>
          <w:color w:val="14213D"/>
          <w:sz w:val="22"/>
          <w:szCs w:val="22"/>
        </w:rPr>
        <w:t xml:space="preserve"> — bijvoorbeeld gekoppeld aan elke fase-overgang uit de architectuurlevenscyclus (deel 11). Bij Mutatieplatform wordt dat gekoppeld aan de kwartaalcyclus, dezelfde cyclus waarin de klantreiskaart wordt bijgewerkt (deel 12) — één terugkerend moment voor meerdere instrumenten, in plaats van drie losse afspraken.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17.7 Terug naar het dubbele patroon</w:t>
      </w:r>
    </w:p>
    <w:p>
      <w:pPr>
        <w:spacing w:after="160"/>
      </w:pPr>
      <w:r>
        <w:rPr>
          <w:rFonts w:ascii="DM Sans" w:cs="DM Sans" w:eastAsia="DM Sans" w:hAnsi="DM Sans"/>
          <w:color w:val="14213D"/>
          <w:sz w:val="22"/>
          <w:szCs w:val="22"/>
        </w:rPr>
        <w:t xml:space="preserve">De twee bijna-identieke koppelvlakpatronen uit 17.2 worden samengevoegd tot één patroonkaart, opgenomen in het gedeelde besluitenlogboek. De architect die het patroon opnieuw had uitgevonden, voelt zich in eerste instantie ongemakkelijk — haar werk lijkt overbodig geweest. Claudette wijst erop dat het tegenovergestelde waar is: de twee onafhankelijke oplossingen bevestigen dat het patroon robuust is, en de kleine verschillen tussen de twee versies leveren juist de input voor een betere, gecombineerde patroonkaart.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17.8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Gedeeld besluitenlogboek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instrument uit deel 7, nu één doorzoekbaar register voor meerdere architecten met de regel "zoek eerst, beslis dan"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Patroonkaart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naam, probleem, wanneer het past, wanneer het niet past — dat laatste veld voorkomt dat een patroon een dogma wordt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Requirementwijziging versus nieuwe requirement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aanpassing van de bestaande behoefte, of een uitbreiding van scope die apart moet worden behandeld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stakeholderkaart als levend document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gekoppeld aan een vast hercontrolemoment, niet alleen bij de start van een opdracht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18 — Operating model II. Views, kwaliteitsborging, deliverables en repository: hoe het geheel van instrumenten die je nu hebt, wordt bewaard en toegankelijk blijft.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d0644e0da9485ed0aaa4f936177108d2a20966.png"/><Relationship Id="rId10" Type="http://schemas.openxmlformats.org/officeDocument/2006/relationships/image" Target="media/a9356b27cfb51cf1e93f4fb32e6583b8a298cb50.png"/><Relationship Id="rId11" Type="http://schemas.openxmlformats.org/officeDocument/2006/relationships/image" Target="media/9c9a833db2e24537e842efa60b4444d41f15fc93.png"/><Relationship Id="rId12" Type="http://schemas.openxmlformats.org/officeDocument/2006/relationships/image" Target="media/140ec1f8ddcb795c31c2ddddc4133d3773569efd.png"/><Relationship Id="rId13" Type="http://schemas.openxmlformats.org/officeDocument/2006/relationships/image" Target="media/1abf2e1cbf7398b0f03b699c18c4c8076537e09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2026-08-17T16:44:37.245Z</dcterms:created>
  <dcterms:modified xsi:type="dcterms:W3CDTF">2026-08-17T16:44:37.245Z</dcterms:modified>
</cp:coreProperties>
</file>

<file path=docProps/custom.xml><?xml version="1.0" encoding="utf-8"?>
<Properties xmlns="http://schemas.openxmlformats.org/officeDocument/2006/custom-properties" xmlns:vt="http://schemas.openxmlformats.org/officeDocument/2006/docPropsVTypes"/>
</file>