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25 — Docentenhandleiding</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rPr>
          <w:rFonts w:ascii="DM Sans" w:cs="DM Sans" w:eastAsia="DM Sans" w:hAnsi="DM Sans"/>
          <w:color w:val="14213D"/>
          <w:sz w:val="22"/>
          <w:szCs w:val="22"/>
        </w:rPr>
        <w:t xml:space="preserve">Deel 25 — Community of practice</w:t>
      </w:r>
    </w:p>
    <w:p>
      <w:pPr>
        <w:spacing w:after="160"/>
      </w:pPr>
      <w:r>
        <w:rPr>
          <w:rFonts w:ascii="DM Sans" w:cs="DM Sans" w:eastAsia="DM Sans" w:hAnsi="DM Sans"/>
          <w:b/>
          <w:bCs/>
          <w:color w:val="14213D"/>
          <w:sz w:val="22"/>
          <w:szCs w:val="22"/>
        </w:rPr>
        <w:t xml:space="preserve">Niveau 3 — Board-gereedheid en praktijkleiderschap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w:t>
      </w:r>
    </w:p>
    <w:p>
      <w:pPr>
        <w:spacing w:after="160"/>
      </w:pPr>
      <w:r>
        <w:rPr>
          <w:rFonts w:ascii="DM Sans" w:cs="DM Sans" w:eastAsia="DM Sans" w:hAnsi="DM Sans"/>
          <w:b/>
          <w:bCs/>
          <w:color w:val="14213D"/>
          <w:sz w:val="22"/>
          <w:szCs w:val="22"/>
        </w:rPr>
        <w:t xml:space="preserve">Hoofddoel:</w:t>
      </w:r>
      <w:r>
        <w:rPr>
          <w:rFonts w:ascii="DM Sans" w:cs="DM Sans" w:eastAsia="DM Sans" w:hAnsi="DM Sans"/>
          <w:color w:val="14213D"/>
          <w:sz w:val="22"/>
          <w:szCs w:val="22"/>
        </w:rPr>
        <w:t xml:space="preserve"> deelnemers moeten de drie signalen van uiteenvallende praktijk vroeg leren herkennen — vóórdat het een acuut probleem wordt — en een licht, vol te houden kennisdelingsritme kunnen ontwerpen.</w:t>
      </w:r>
    </w:p>
    <w:p>
      <w:pPr>
        <w:spacing w:after="160"/>
      </w:pPr>
      <w:r>
        <w:rPr>
          <w:rFonts w:ascii="DM Sans" w:cs="DM Sans" w:eastAsia="DM Sans" w:hAnsi="DM Sans"/>
          <w:b/>
          <w:bCs/>
          <w:color w:val="14213D"/>
          <w:sz w:val="22"/>
          <w:szCs w:val="22"/>
        </w:rPr>
        <w:t xml:space="preserve">Kader voor de hele sessie:</w:t>
      </w:r>
      <w:r>
        <w:rPr>
          <w:rFonts w:ascii="DM Sans" w:cs="DM Sans" w:eastAsia="DM Sans" w:hAnsi="DM Sans"/>
          <w:color w:val="14213D"/>
          <w:sz w:val="22"/>
          <w:szCs w:val="22"/>
        </w:rPr>
        <w:t xml:space="preserve"> dit deel behandelt hetzelfde probleem als deel 17 (twee architecten die onafhankelijk hetzelfde patroon uitvinden), maar nu structureel voor een hele, verspreide praktijk in plaats van incidenteel voor twee mensen. Trek die parallel expliciet.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één dagdeel (4 uur)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Vijf werkstromen, vijf talen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verhaal + slides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 – 0:35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signalen van uiteenvallende praktijk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0:35 – 0:55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 — de drie signalen herkennen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0:55 – 1:15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1:15 – 1:30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1:30 – 1:50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kennisdelingsritme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1:50 – 2:10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 — het kennisdelingsritme ontwerpen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2:10 – 2:30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lokaal mag blijven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2:30 – 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2:45 – 3:00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 — praktijkbreed of lokaal legitiem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3:00 – 3:20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 — de invalproef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groepen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3:20 – 3:20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4 — </w:t>
            </w:r>
            <w:r>
              <w:rPr>
                <w:rFonts w:ascii="DM Sans" w:cs="DM Sans" w:eastAsia="DM Sans" w:hAnsi="DM Sans"/>
                <w:i/>
                <w:iCs/>
                <w:color w:val="14213D"/>
                <w:sz w:val="22"/>
                <w:szCs w:val="22"/>
              </w:rPr>
              <w:t xml:space="preserve">het scharnier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3:40 – 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dit deel heeft opgeleverd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4:00 – 4:30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Marge, vooruitblik deel 26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De drie signalen en opdracht 1 (0:15 – 1:15)</w:t>
      </w:r>
    </w:p>
    <w:p>
      <w:pPr>
        <w:spacing w:after="160"/>
      </w:pPr>
      <w:r>
        <w:rPr>
          <w:rFonts w:ascii="DM Sans" w:cs="DM Sans" w:eastAsia="DM Sans" w:hAnsi="DM Sans"/>
          <w:b/>
          <w:bCs/>
          <w:color w:val="14213D"/>
          <w:sz w:val="22"/>
          <w:szCs w:val="22"/>
        </w:rPr>
        <w:t xml:space="preserve">Verwacht dat het eerste en tweede signaal (afwijkende instrumenten, divergerend jargon) minder snel worden herkend dan het derde.</w:t>
      </w:r>
      <w:r>
        <w:rPr>
          <w:rFonts w:ascii="DM Sans" w:cs="DM Sans" w:eastAsia="DM Sans" w:hAnsi="DM Sans"/>
          <w:color w:val="14213D"/>
          <w:sz w:val="22"/>
          <w:szCs w:val="22"/>
        </w:rPr>
        <w:t xml:space="preserve"> Dat komt doordat de eerste twee zich geleidelijk opbouwen en zelden een concreet incident veroorzaken totdat het te laat is. Vraag actief door: is er ooit een instrument of term geweest die je pas laat besefte anders te gebruiken dan een collega?</w:t>
      </w:r>
    </w:p>
    <w:p>
      <w:pPr>
        <w:pStyle w:val="Heading3"/>
      </w:pPr>
      <w:r>
        <w:rPr>
          <w:rFonts w:ascii="DM Sans" w:cs="DM Sans" w:eastAsia="DM Sans" w:hAnsi="DM Sans"/>
          <w:color w:val="14213D"/>
          <w:sz w:val="22"/>
          <w:szCs w:val="22"/>
        </w:rPr>
        <w:t xml:space="preserve">3.2 Opdracht 4 — de invalproef (3:00 – 3:40) — het scharnier</w:t>
      </w:r>
    </w:p>
    <w:p>
      <w:pPr>
        <w:spacing w:after="160"/>
      </w:pPr>
      <w:r>
        <w:rPr>
          <w:rFonts w:ascii="DM Sans" w:cs="DM Sans" w:eastAsia="DM Sans" w:hAnsi="DM Sans"/>
          <w:b/>
          <w:bCs/>
          <w:color w:val="14213D"/>
          <w:sz w:val="22"/>
          <w:szCs w:val="22"/>
        </w:rPr>
        <w:t xml:space="preserve">Dit is de krachtigste oefening van het dagdeel omdat hij het probleem tastbaar maakt in een concreet aantal dagen of weken.</w:t>
      </w:r>
      <w:r>
        <w:rPr>
          <w:rFonts w:ascii="DM Sans" w:cs="DM Sans" w:eastAsia="DM Sans" w:hAnsi="DM Sans"/>
          <w:color w:val="14213D"/>
          <w:sz w:val="22"/>
          <w:szCs w:val="22"/>
        </w:rPr>
        <w:t xml:space="preserve"> Laat groepen een eerlijk getal noemen, geen wensdenken. Bij de nabespreking: welke van de drie signalen (25.3) verklaart het langst duren van de inwerktijd?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Kennisdelingsritme (opdracht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direct toepasbaar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Praktijkbreed/lokaal-analyse (opdracht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referentie voor deel 27</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Geen specifieke materialen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Vooruitblik voor de docent</w:t>
      </w:r>
    </w:p>
    <w:p>
      <w:pPr>
        <w:spacing w:after="160"/>
      </w:pPr>
      <w:r>
        <w:rPr>
          <w:rFonts w:ascii="DM Sans" w:cs="DM Sans" w:eastAsia="DM Sans" w:hAnsi="DM Sans"/>
          <w:color w:val="14213D"/>
          <w:sz w:val="22"/>
          <w:szCs w:val="22"/>
        </w:rPr>
        <w:t xml:space="preserve">Deel 26 behandelt board-communicatie: hoe leg je architectuurvoortgang uit aan een raad van bestuur die geen tijd en geen technische achtergrond heeft, als voorbereiding op het CITA-S-boardinterview. Dit bouwt voort op deel 10 (verdediging voor drie MT-rollen) en deel 15 (stuurgroep), nu opgeschaald naar het hoogste niveau van een organisatie. Bereid je voor door de reader van deel 26 door te nemen.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2026-08-17T16:44:38.312Z</dcterms:created>
  <dcterms:modified xsi:type="dcterms:W3CDTF">2026-08-17T16:44:38.312Z</dcterms:modified>
</cp:coreProperties>
</file>

<file path=docProps/custom.xml><?xml version="1.0" encoding="utf-8"?>
<Properties xmlns="http://schemas.openxmlformats.org/officeDocument/2006/custom-properties" xmlns:vt="http://schemas.openxmlformats.org/officeDocument/2006/docPropsVTypes"/>
</file>