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25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25 — Community of practice</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25.1 Waar dit deel over gaat</w:t>
      </w:r>
    </w:p>
    <w:p>
      <w:pPr>
        <w:spacing w:after="160"/>
      </w:pPr>
      <w:r>
        <w:rPr>
          <w:rFonts w:ascii="DM Sans" w:cs="DM Sans" w:eastAsia="DM Sans" w:hAnsi="DM Sans"/>
          <w:color w:val="14213D"/>
          <w:sz w:val="22"/>
          <w:szCs w:val="22"/>
        </w:rPr>
        <w:t xml:space="preserve">De Wtp-architectuurpraktijk is inmiddels op volle sterkte: negen architecten, verdeeld over vijf verschillende werkstromen binnen de overgang naar het nieuwe pensioenstelsel. Ze zien elkaar zelden allemaal tegelijk. Dit deel gaat over hoe je, in die situatie, één praktijk blijft in plaats van vijf losse groepjes die toevallig dezelfde titel dragen.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de signalen herkennen waarop een praktijk uiteenvalt in geïsoleerde eilandjes;</w:t>
      </w:r>
    </w:p>
    <w:p>
      <w:pPr>
        <w:pStyle w:val="ListParagraph"/>
        <w:numPr>
          <w:ilvl w:val="0"/>
          <w:numId w:val="2"/>
        </w:numPr>
      </w:pPr>
      <w:r>
        <w:rPr>
          <w:rFonts w:ascii="DM Sans" w:cs="DM Sans" w:eastAsia="DM Sans" w:hAnsi="DM Sans"/>
          <w:color w:val="14213D"/>
          <w:sz w:val="22"/>
          <w:szCs w:val="22"/>
        </w:rPr>
        <w:t xml:space="preserve">een kennisdelingsritme inrichten dat past bij een verspreide praktijk;</w:t>
      </w:r>
    </w:p>
    <w:p>
      <w:pPr>
        <w:pStyle w:val="ListParagraph"/>
        <w:numPr>
          <w:ilvl w:val="0"/>
          <w:numId w:val="2"/>
        </w:numPr>
      </w:pPr>
      <w:r>
        <w:rPr>
          <w:rFonts w:ascii="DM Sans" w:cs="DM Sans" w:eastAsia="DM Sans" w:hAnsi="DM Sans"/>
          <w:color w:val="14213D"/>
          <w:sz w:val="22"/>
          <w:szCs w:val="22"/>
        </w:rPr>
        <w:t xml:space="preserve">het onderscheid maken tussen kennis die gedeeld moet worden en kennis die lokaal mag blijven.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25.2 Vijf werkstromen, vijf talen</w:t>
      </w:r>
    </w:p>
    <w:p>
      <w:pPr>
        <w:spacing w:after="160"/>
      </w:pPr>
      <w:r>
        <w:rPr>
          <w:rFonts w:ascii="DM Sans" w:cs="DM Sans" w:eastAsia="DM Sans" w:hAnsi="DM Sans"/>
          <w:color w:val="14213D"/>
          <w:sz w:val="22"/>
          <w:szCs w:val="22"/>
        </w:rPr>
        <w:t xml:space="preserve">Zes maanden in de Wtp-overgang blijkt dat de vijf werkstromen — elk met twee architecten — hun eigen jargon, hun eigen versie van instrumenten uit deze cursus, en hun eigen interpretatie van kaders hebben ontwikkeld. Een architect uit werkstroom "Herberekening" gebruikt het besluitenlogboek anders dan een architect uit werkstroom "Communicatie naar deelnemers" — niet fundamenteel anders, maar genoeg om verwarring te veroorzaken zodra iemand tussen werkstromen wisselt.</w:t>
      </w:r>
    </w:p>
    <w:p>
      <w:pPr>
        <w:spacing w:after="80" w:before="200"/>
        <w:jc w:val="center"/>
      </w:pPr>
      <w:r>
        <w:drawing>
          <wp:inline distT="0" distB="0" distL="0" distR="0">
            <wp:extent cx="5715000" cy="3810000"/>
            <wp:effectExtent t="0" r="0" b="0" l="0"/>
            <wp:docPr id="1" name="figuur-25-1" descr="FIGUUR 25-1: vijf werkstromen als eilanden, elk met een net iets andere versie van hetzelfde instrument" title="Figuur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25-1</w:t>
      </w:r>
    </w:p>
    <w:p>
      <w:pPr>
        <w:spacing w:after="160"/>
      </w:pPr>
      <w:r>
        <w:rPr>
          <w:rFonts w:ascii="DM Sans" w:cs="DM Sans" w:eastAsia="DM Sans" w:hAnsi="DM Sans"/>
          <w:color w:val="14213D"/>
          <w:sz w:val="22"/>
          <w:szCs w:val="22"/>
        </w:rPr>
        <w:t xml:space="preserve">Toen een architect tijdelijk inviel in een andere werkstroom om een piek op te vangen, kostte het haar twee dagen om te begrijpen hoe daar het besluitenlogboek werd gebruikt — tijd die met een gedeelde praktijkstandaard niet nodig was geweest.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25.3 De signalen van uiteenvallende praktijk</w:t>
      </w:r>
    </w:p>
    <w:p>
      <w:pPr>
        <w:spacing w:after="160"/>
      </w:pPr>
      <w:r>
        <w:rPr>
          <w:rFonts w:ascii="DM Sans" w:cs="DM Sans" w:eastAsia="DM Sans" w:hAnsi="DM Sans"/>
          <w:color w:val="14213D"/>
          <w:sz w:val="22"/>
          <w:szCs w:val="22"/>
        </w:rPr>
        <w:t xml:space="preserve">De eerste competentie leert drie signalen herkennen die vroeg waarschuwen voor een praktijk die uit elkaar groeit, vóórdat het een acuut probleem wordt.</w:t>
      </w:r>
    </w:p>
    <w:p>
      <w:pPr>
        <w:spacing w:after="80" w:before="200"/>
        <w:jc w:val="center"/>
      </w:pPr>
      <w:r>
        <w:drawing>
          <wp:inline distT="0" distB="0" distL="0" distR="0">
            <wp:extent cx="5715000" cy="3810000"/>
            <wp:effectExtent t="0" r="0" b="0" l="0"/>
            <wp:docPr id="1" name="figuur-25-2" descr="FIGUUR 25-2: drie signalen, elk met een concreet voorbeeld uit de Wtp-praktijk" title="Figuur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25-2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het betekent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Voorbeeld bij Wtp</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Instrumenten wijken af zonder besluit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team past een gedeeld instrument geleidelijk aan, zonder dat te melden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besluitenlogboek van "Herberekening" mist het heroverwegingsmoment-veld — niemand besloot dat bewust weg te laten, het verdween gewoon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Jargon divergeert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dezelfde term betekent in twee werkstromen iets anders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"breukpunt" betekent in de ene werkstroom een technisch risico, in de andere een communicatieprobleem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Niemand kent elkaars werk meer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architecten kunnen niet meer navertellen wat een collega in een andere werkstroom doet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een gezamenlijke lunch blijkt niemand te weten wat de architect van "Toezichtrapportage" die maand heeft opgeleverd</w:t>
            </w:r>
          </w:p>
        </w:tc>
      </w:tr>
    </w:tbl>
    <w:p>
      <w:pPr>
        <w:spacing w:after="160"/>
      </w:pPr>
    </w:p>
    <w:p>
      <w:pPr>
        <w:spacing w:after="160"/>
      </w:pPr>
      <w:r>
        <w:rPr>
          <w:rFonts w:ascii="DM Sans" w:cs="DM Sans" w:eastAsia="DM Sans" w:hAnsi="DM Sans"/>
          <w:color w:val="14213D"/>
          <w:sz w:val="22"/>
          <w:szCs w:val="22"/>
        </w:rPr>
        <w:t xml:space="preserve">Geen van deze drie signalen is op zichzelf een crisis. Samen zijn ze een vroege waarschuwing dat de praktijk, ondanks een gedeeld charter (deel 23), feitelijk uiteenvalt.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25.4 Het kennisdelingsritme</w:t>
      </w:r>
    </w:p>
    <w:p>
      <w:pPr>
        <w:spacing w:after="160"/>
      </w:pPr>
      <w:r>
        <w:rPr>
          <w:rFonts w:ascii="DM Sans" w:cs="DM Sans" w:eastAsia="DM Sans" w:hAnsi="DM Sans"/>
          <w:color w:val="14213D"/>
          <w:sz w:val="22"/>
          <w:szCs w:val="22"/>
        </w:rPr>
        <w:t xml:space="preserve">De tweede competentie is het instrument dat deze divergentie tegengaat, zonder terug te vallen op een zwaar, verplicht proces.</w:t>
      </w:r>
    </w:p>
    <w:p>
      <w:pPr>
        <w:spacing w:after="80" w:before="200"/>
        <w:jc w:val="center"/>
      </w:pPr>
      <w:r>
        <w:drawing>
          <wp:inline distT="0" distB="0" distL="0" distR="0">
            <wp:extent cx="5715000" cy="3810000"/>
            <wp:effectExtent t="0" r="0" b="0" l="0"/>
            <wp:docPr id="1" name="figuur-25-3" descr="FIGUUR 25-3: een kennisdelingsritme — een vast, kort, terugkerend moment waarop de hele praktijk samenkomt" title="Figuur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25-3</w:t>
      </w:r>
    </w:p>
    <w:p>
      <w:pPr>
        <w:spacing w:after="160"/>
      </w:pPr>
      <w:r>
        <w:rPr>
          <w:rFonts w:ascii="DM Sans" w:cs="DM Sans" w:eastAsia="DM Sans" w:hAnsi="DM Sans"/>
          <w:b/>
          <w:bCs/>
          <w:color w:val="14213D"/>
          <w:sz w:val="22"/>
          <w:szCs w:val="22"/>
        </w:rPr>
        <w:t xml:space="preserve">Het instrument: een vast, licht ritme van dertig tot vijfvijftig minuten, elke twee weken, met een vaste, beperkte vorm:</w:t>
      </w:r>
    </w:p>
    <w:p>
      <w:pPr>
        <w:pStyle w:val="ListParagraph"/>
        <w:numPr>
          <w:ilvl w:val="0"/>
          <w:numId w:val="2"/>
        </w:numPr>
      </w:pPr>
      <w:r>
        <w:rPr>
          <w:rFonts w:ascii="DM Sans" w:cs="DM Sans" w:eastAsia="DM Sans" w:hAnsi="DM Sans"/>
          <w:color w:val="14213D"/>
          <w:sz w:val="22"/>
          <w:szCs w:val="22"/>
        </w:rPr>
        <w:t xml:space="preserve">Elke sessie presenteert één werkstroom (bij toerbeurt) één ding dat ze hebben geleerd of aangepast.</w:t>
      </w:r>
    </w:p>
    <w:p>
      <w:pPr>
        <w:pStyle w:val="ListParagraph"/>
        <w:numPr>
          <w:ilvl w:val="0"/>
          <w:numId w:val="2"/>
        </w:numPr>
      </w:pPr>
      <w:r>
        <w:rPr>
          <w:rFonts w:ascii="DM Sans" w:cs="DM Sans" w:eastAsia="DM Sans" w:hAnsi="DM Sans"/>
          <w:color w:val="14213D"/>
          <w:sz w:val="22"/>
          <w:szCs w:val="22"/>
        </w:rPr>
        <w:t xml:space="preserve">Elke sessie eindigt met de vraag: "Is dit iets voor het hele praktijkinstrumentarium, of alleen voor deze werkstroom?"</w:t>
      </w:r>
    </w:p>
    <w:p>
      <w:pPr>
        <w:pStyle w:val="ListParagraph"/>
        <w:numPr>
          <w:ilvl w:val="0"/>
          <w:numId w:val="2"/>
        </w:numPr>
      </w:pPr>
      <w:r>
        <w:rPr>
          <w:rFonts w:ascii="DM Sans" w:cs="DM Sans" w:eastAsia="DM Sans" w:hAnsi="DM Sans"/>
          <w:color w:val="14213D"/>
          <w:sz w:val="22"/>
          <w:szCs w:val="22"/>
        </w:rPr>
        <w:t xml:space="preserve">Besluiten om een instrument praktijkbreed aan te passen, gaan naar het gedeelde besluitenlogboek — dezelfde discipline als in deel 17.</w:t>
      </w:r>
    </w:p>
    <w:p>
      <w:pPr>
        <w:spacing w:after="160"/>
      </w:pPr>
      <w:r>
        <w:rPr>
          <w:rFonts w:ascii="DM Sans" w:cs="DM Sans" w:eastAsia="DM Sans" w:hAnsi="DM Sans"/>
          <w:color w:val="14213D"/>
          <w:sz w:val="22"/>
          <w:szCs w:val="22"/>
        </w:rPr>
        <w:t xml:space="preserve">Bij Wtp levert dit binnen twee maanden een concrete correctie op: het ontbrekende heroverwegingsmoment-veld in het besluitenlogboek van "Herberekening" wordt hersteld, en de term "breukpunt" wordt praktijkbreed vastgelegd met één betekenis — technisch risico, met een apart, nieuw begrip voor het communicatieprobleem dat de andere werkstroom bedoelde.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25.5 Wat lokaal mag blijven</w:t>
      </w:r>
    </w:p>
    <w:p>
      <w:pPr>
        <w:spacing w:after="160"/>
      </w:pPr>
      <w:r>
        <w:rPr>
          <w:rFonts w:ascii="DM Sans" w:cs="DM Sans" w:eastAsia="DM Sans" w:hAnsi="DM Sans"/>
          <w:color w:val="14213D"/>
          <w:sz w:val="22"/>
          <w:szCs w:val="22"/>
        </w:rPr>
        <w:t xml:space="preserve">De derde competentie waarschuwt tegen het omgekeerde probleem: niet alles hoeft praktijkbreed gelijk te zijn. Sommige aanpassingen zijn een terechte reactie op de specifieke aard van een werkstroom, geen afwijking die gecorrigeerd moet worden.</w:t>
      </w:r>
    </w:p>
    <w:p>
      <w:pPr>
        <w:spacing w:after="80" w:before="200"/>
        <w:jc w:val="center"/>
      </w:pPr>
      <w:r>
        <w:drawing>
          <wp:inline distT="0" distB="0" distL="0" distR="0">
            <wp:extent cx="5715000" cy="3810000"/>
            <wp:effectExtent t="0" r="0" b="0" l="0"/>
            <wp:docPr id="1" name="figuur-25-4" descr="FIGUUR 25-4: twee soorten afwijking naast elkaar — een die praktijkbreed moet worden opgelost, een die lokaal legitiem is" title="Figuur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25-4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Praktijkbreed corrigeren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Lokaal legitiem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Voorbeeld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ontbrekende heroverwegingsmoment-veld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"Toezichtrapportage" gebruikt een extra, vijfde view specifiek voor toezichthouderrapportages, die de andere werkstromen niet nodig hebben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kernveld van een gedeeld instrument mag niet stilzwijgend verdwijnen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aanvulling die een specifieke, aantoonbare behoefte van die werkstroom dient</w:t>
            </w:r>
          </w:p>
        </w:tc>
      </w:tr>
    </w:tbl>
    <w:p>
      <w:pPr>
        <w:spacing w:after="160"/>
      </w:pPr>
    </w:p>
    <w:p>
      <w:pPr>
        <w:spacing w:after="160"/>
      </w:pPr>
      <w:r>
        <w:rPr>
          <w:rFonts w:ascii="DM Sans" w:cs="DM Sans" w:eastAsia="DM Sans" w:hAnsi="DM Sans"/>
          <w:b/>
          <w:bCs/>
          <w:color w:val="14213D"/>
          <w:sz w:val="22"/>
          <w:szCs w:val="22"/>
        </w:rPr>
        <w:t xml:space="preserve">Het onderscheid: raakt de afwijking de kern van een gedeeld instrument (dan corrigeren), of is het een aanvulling die de kern intact laat en een specifieke behoefte dient (dan legitiem lokaal)?</w:t>
      </w:r>
      <w:r>
        <w:rPr>
          <w:rFonts w:ascii="DM Sans" w:cs="DM Sans" w:eastAsia="DM Sans" w:hAnsi="DM Sans"/>
          <w:color w:val="14213D"/>
          <w:sz w:val="22"/>
          <w:szCs w:val="22"/>
        </w:rPr>
        <w:t xml:space="preserve"> Dit is dezelfde logica als de patroonkaart uit deel 17 — "wanneer het niet past" is geen fout in het patroon, maar een legitieme grens.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25.6 Het effect na twee maanden</w:t>
      </w:r>
    </w:p>
    <w:p>
      <w:pPr>
        <w:spacing w:after="160"/>
      </w:pPr>
      <w:r>
        <w:rPr>
          <w:rFonts w:ascii="DM Sans" w:cs="DM Sans" w:eastAsia="DM Sans" w:hAnsi="DM Sans"/>
          <w:color w:val="14213D"/>
          <w:sz w:val="22"/>
          <w:szCs w:val="22"/>
        </w:rPr>
        <w:t xml:space="preserve">Bij de volgende kennisdelingssessie meldt de architect die eerder twee dagen kwijt was aan het begrijpen van een andere werkstroom, dat een collega die nu tijdelijk invalt, binnen een halve dag operationeel is — het besluitenlogboek werkt overal hetzelfde, het jargon is gedeeld, en de vijfde view van "Toezichtrapportage" staat expliciet gedocumenteerd als lokale aanvulling in plaats van verwarrende afwijking.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Drie signalen van uiteenvallende praktijk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instrumenten wijken af zonder besluit, jargon divergeert, niemand kent elkaars werk meer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Kennisdelingsritme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vast, licht, tweewekelijks moment waarop één werkstroom deelt wat er is geleerd of aangepast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Praktijkbreed versus lokaal legitiem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afwijking die de kern van een gedeeld instrument raakt, wordt gecorrigeerd; een aanvulling die een specifieke behoefte dient zonder de kern aan te tasten, mag lokaal blijven</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26 — Board-communicatie. Hoe leg je de voortgang van de Wtp-overgang uit aan een raad van bestuur, die geen tijd en geen technische achtergrond heeft?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5e53723bbebc1b49f2feba7621afa12aa065ac.png"/><Relationship Id="rId10" Type="http://schemas.openxmlformats.org/officeDocument/2006/relationships/image" Target="media/4a443e82970b1d46ceaa1a2b7045709535b11a10.png"/><Relationship Id="rId11" Type="http://schemas.openxmlformats.org/officeDocument/2006/relationships/image" Target="media/3853d6da48fc41a2873f324afc41fd9c87d71915.png"/><Relationship Id="rId12" Type="http://schemas.openxmlformats.org/officeDocument/2006/relationships/image" Target="media/81aaf87d1be0d962bd85650802f15cecbafc613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2026-08-17T16:44:38.257Z</dcterms:created>
  <dcterms:modified xsi:type="dcterms:W3CDTF">2026-08-17T16:44:38.257Z</dcterms:modified>
</cp:coreProperties>
</file>

<file path=docProps/custom.xml><?xml version="1.0" encoding="utf-8"?>
<Properties xmlns="http://schemas.openxmlformats.org/officeDocument/2006/custom-properties" xmlns:vt="http://schemas.openxmlformats.org/officeDocument/2006/docPropsVTypes"/>
</file>