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26 — Docentenhandleiding</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26 — Board-communicatie</w:t>
      </w:r>
    </w:p>
    <w:p>
      <w:pPr>
        <w:spacing w:after="160"/>
      </w:pPr>
      <w:r>
        <w:rPr>
          <w:rFonts w:ascii="DM Sans" w:cs="DM Sans" w:eastAsia="DM Sans" w:hAnsi="DM Sans"/>
          <w:b/>
          <w:bCs/>
          <w:color w:val="14213D"/>
          <w:sz w:val="22"/>
          <w:szCs w:val="22"/>
        </w:rPr>
        <w:t xml:space="preserve">Niveau 3 — Board-gereedheid en praktijkleiderschap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een boardpresentatie kunnen bouwen die binnen tien minuten staat, en vooral: moeten leren een technisch onnauwkeurige maar oprechte vraag te beantwoorden op het niveau van de zorg, niet op het niveau van de feitelijke precisie.</w:t>
      </w:r>
    </w:p>
    <w:p>
      <w:pPr>
        <w:spacing w:after="160"/>
      </w:pPr>
      <w:r>
        <w:rPr>
          <w:rFonts w:ascii="DM Sans" w:cs="DM Sans" w:eastAsia="DM Sans" w:hAnsi="DM Sans"/>
          <w:b/>
          <w:bCs/>
          <w:color w:val="14213D"/>
          <w:sz w:val="22"/>
          <w:szCs w:val="22"/>
        </w:rPr>
        <w:t xml:space="preserve">Dit deel bouwt direct voort op deel 10 en deel 15</w:t>
      </w:r>
      <w:r>
        <w:rPr>
          <w:rFonts w:ascii="DM Sans" w:cs="DM Sans" w:eastAsia="DM Sans" w:hAnsi="DM Sans"/>
          <w:color w:val="14213D"/>
          <w:sz w:val="22"/>
          <w:szCs w:val="22"/>
        </w:rPr>
        <w:t xml:space="preserve"> — noem die twee expliciet als eerdere oefeningen in hetzelfde soort vaardigheid, nu op het hoogste niveau.</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eerste kwartaalrapportage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boodschap, drie onderbouwingen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de boardpresentatie in vijf slides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 – 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 – 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 – 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Risico communiceren zonder techniek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 – 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risico zonder techniek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 – 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onderliggende zorg beantwoorden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 –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 – 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de onderliggende zorg beantwoorden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 – 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rollenspel: de vragenronde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 van 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 – 3:55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de eerste boardpresentatie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dit deel heeft opgeleverd; marge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Eén boodschap, drie onderbouwingen en opdracht 1 (0:15 – 1:20)</w:t>
      </w:r>
    </w:p>
    <w:p>
      <w:pPr>
        <w:spacing w:after="160"/>
      </w:pPr>
      <w:r>
        <w:rPr>
          <w:rFonts w:ascii="DM Sans" w:cs="DM Sans" w:eastAsia="DM Sans" w:hAnsi="DM Sans"/>
          <w:b/>
          <w:bCs/>
          <w:color w:val="14213D"/>
          <w:sz w:val="22"/>
          <w:szCs w:val="22"/>
        </w:rPr>
        <w:t xml:space="preserve">Verwacht dat deelnemers moeite hebben hun onderwerp tot één cijfer per onderbouwing terug te brengen.</w:t>
      </w:r>
      <w:r>
        <w:rPr>
          <w:rFonts w:ascii="DM Sans" w:cs="DM Sans" w:eastAsia="DM Sans" w:hAnsi="DM Sans"/>
          <w:color w:val="14213D"/>
          <w:sz w:val="22"/>
          <w:szCs w:val="22"/>
        </w:rPr>
        <w:t xml:space="preserve"> De neiging is om nuance toe te voegen ("het is ingewikkelder dan één getal"). Erken dat, maar houd vast aan de discipline: nuance hoort in de bijlage, niet in de kernboodschap.</w:t>
      </w:r>
    </w:p>
    <w:p>
      <w:pPr>
        <w:pStyle w:val="Heading3"/>
      </w:pPr>
      <w:r>
        <w:rPr>
          <w:rFonts w:ascii="DM Sans" w:cs="DM Sans" w:eastAsia="DM Sans" w:hAnsi="DM Sans"/>
          <w:color w:val="14213D"/>
          <w:sz w:val="22"/>
          <w:szCs w:val="22"/>
        </w:rPr>
        <w:t xml:space="preserve">3.2 Risico zonder techniek en opdracht 2 (1:35 – 2:10)</w:t>
      </w:r>
    </w:p>
    <w:p>
      <w:pPr>
        <w:spacing w:after="160"/>
      </w:pPr>
      <w:r>
        <w:rPr>
          <w:rFonts w:ascii="DM Sans" w:cs="DM Sans" w:eastAsia="DM Sans" w:hAnsi="DM Sans"/>
          <w:b/>
          <w:bCs/>
          <w:color w:val="14213D"/>
          <w:sz w:val="22"/>
          <w:szCs w:val="22"/>
        </w:rPr>
        <w:t xml:space="preserve">Als de groep de dekkingsgraad-analogie uit deel 16 nog niet heeft behandeld</w:t>
      </w:r>
      <w:r>
        <w:rPr>
          <w:rFonts w:ascii="DM Sans" w:cs="DM Sans" w:eastAsia="DM Sans" w:hAnsi="DM Sans"/>
          <w:color w:val="14213D"/>
          <w:sz w:val="22"/>
          <w:szCs w:val="22"/>
        </w:rPr>
        <w:t xml:space="preserve"> (bijvoorbeeld bij een deelnemersgroep die niet de volledige cursus doorliep), leg deze kort uit voordat je verdergaat — de analogie is de kern van 26.4.</w:t>
      </w:r>
    </w:p>
    <w:p>
      <w:pPr>
        <w:pStyle w:val="Heading3"/>
      </w:pPr>
      <w:r>
        <w:rPr>
          <w:rFonts w:ascii="DM Sans" w:cs="DM Sans" w:eastAsia="DM Sans" w:hAnsi="DM Sans"/>
          <w:color w:val="14213D"/>
          <w:sz w:val="22"/>
          <w:szCs w:val="22"/>
        </w:rPr>
        <w:t xml:space="preserve">3.3 De onderliggende zorg, opdracht 3 en 4 (2:30 – 3:35) — het scharnier</w:t>
      </w:r>
    </w:p>
    <w:p>
      <w:pPr>
        <w:spacing w:after="160"/>
      </w:pPr>
      <w:r>
        <w:rPr>
          <w:rFonts w:ascii="DM Sans" w:cs="DM Sans" w:eastAsia="DM Sans" w:hAnsi="DM Sans"/>
          <w:b/>
          <w:bCs/>
          <w:color w:val="14213D"/>
          <w:sz w:val="22"/>
          <w:szCs w:val="22"/>
        </w:rPr>
        <w:t xml:space="preserve">Dit is het belangrijkste vaardigheidsmoment van het dagdeel.</w:t>
      </w:r>
      <w:r>
        <w:rPr>
          <w:rFonts w:ascii="DM Sans" w:cs="DM Sans" w:eastAsia="DM Sans" w:hAnsi="DM Sans"/>
          <w:color w:val="14213D"/>
          <w:sz w:val="22"/>
          <w:szCs w:val="22"/>
        </w:rPr>
        <w:t xml:space="preserve"> Bij het rollenspel (opdracht 4): observeer specifiek of de presentator de neiging heeft te corrigeren in plaats van te erkennen. Grijp in als dat gebeurt, en laat de presentator het opnieuw proberen — dit is een vaardigheid die oefening vergt, geen inzicht dat in één keer beklijft.</w:t>
      </w:r>
    </w:p>
    <w:p>
      <w:pPr>
        <w:spacing w:after="160"/>
      </w:pPr>
      <w:r>
        <w:rPr>
          <w:rFonts w:ascii="DM Sans" w:cs="DM Sans" w:eastAsia="DM Sans" w:hAnsi="DM Sans"/>
          <w:b/>
          <w:bCs/>
          <w:color w:val="14213D"/>
          <w:sz w:val="22"/>
          <w:szCs w:val="22"/>
        </w:rPr>
        <w:t xml:space="preserve">Waarschuw voor het omgekeerde risico:</w:t>
      </w:r>
      <w:r>
        <w:rPr>
          <w:rFonts w:ascii="DM Sans" w:cs="DM Sans" w:eastAsia="DM Sans" w:hAnsi="DM Sans"/>
          <w:color w:val="14213D"/>
          <w:sz w:val="22"/>
          <w:szCs w:val="22"/>
        </w:rPr>
        <w:t xml:space="preserve"> een presentator die zo bezig is de zorg te erkennen dat feitelijke onjuistheden die er echt toe doen, onweersproken blijven. Het punt is niet "corrigeer nooit," maar "beantwoord eerst de zorg, corrigeer feiten alleen als het besluit erdoor verandert."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Boardpresentatie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het CITA-S-boardinterview</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Antwoorden op de onderliggende zorg (opdracht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directe voorbereiding op vragenrondes</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Geen specifieke materialen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27 behandelt strategische breedte: hoe Claudette samenhang bewaakt over de vijf parallelle Wtp-werkstromen heen, op portefeuilleniveau, als voorbereiding op de bredere blik die CITA-P vereist. Dit bouwt voort op de roadmap en het governancemodel uit deel 19, nu toegepast op meerdere gelijktijdige programma's in plaats van één. Bereid je voor door de reader van deel 27 door te nemen.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2026-08-17T16:44:38.427Z</dcterms:created>
  <dcterms:modified xsi:type="dcterms:W3CDTF">2026-08-17T16:44:38.427Z</dcterms:modified>
</cp:coreProperties>
</file>

<file path=docProps/custom.xml><?xml version="1.0" encoding="utf-8"?>
<Properties xmlns="http://schemas.openxmlformats.org/officeDocument/2006/custom-properties" xmlns:vt="http://schemas.openxmlformats.org/officeDocument/2006/docPropsVTypes"/>
</file>