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26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26 — Board-communicatie</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26.1 Waar dit deel over gaat</w:t>
      </w:r>
    </w:p>
    <w:p>
      <w:pPr>
        <w:spacing w:after="160"/>
      </w:pPr>
      <w:r>
        <w:rPr>
          <w:rFonts w:ascii="DM Sans" w:cs="DM Sans" w:eastAsia="DM Sans" w:hAnsi="DM Sans"/>
          <w:color w:val="14213D"/>
          <w:sz w:val="22"/>
          <w:szCs w:val="22"/>
        </w:rPr>
        <w:t xml:space="preserve">Deel 10 leerde je verdedigen voor drie MT-rollen. Deel 15 leerde je een stuurgroep overtuigen. Dit deel gaat over het hoogste niveau: de raad van bestuur, met nog minder tijd, nog minder technische achtergrond, en nog hogere inzet — de Wtp-overgang raakt het bestaansrecht van Meridiaan als uitvoerder.</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boardpresentatie opbouwen die binnen tien minuten het complete beeld geeft;</w:t>
      </w:r>
    </w:p>
    <w:p>
      <w:pPr>
        <w:pStyle w:val="ListParagraph"/>
        <w:numPr>
          <w:ilvl w:val="0"/>
          <w:numId w:val="2"/>
        </w:numPr>
      </w:pPr>
      <w:r>
        <w:rPr>
          <w:rFonts w:ascii="DM Sans" w:cs="DM Sans" w:eastAsia="DM Sans" w:hAnsi="DM Sans"/>
          <w:color w:val="14213D"/>
          <w:sz w:val="22"/>
          <w:szCs w:val="22"/>
        </w:rPr>
        <w:t xml:space="preserve">risico communiceren op een manier die een bestuur in staat stelt te sturen, zonder in technische details te verzanden;</w:t>
      </w:r>
    </w:p>
    <w:p>
      <w:pPr>
        <w:pStyle w:val="ListParagraph"/>
        <w:numPr>
          <w:ilvl w:val="0"/>
          <w:numId w:val="2"/>
        </w:numPr>
      </w:pPr>
      <w:r>
        <w:rPr>
          <w:rFonts w:ascii="DM Sans" w:cs="DM Sans" w:eastAsia="DM Sans" w:hAnsi="DM Sans"/>
          <w:color w:val="14213D"/>
          <w:sz w:val="22"/>
          <w:szCs w:val="22"/>
        </w:rPr>
        <w:t xml:space="preserve">omgaan met vragen die vanuit onvoldoende technische kennis maar terechte bestuurlijke zorg worden gesteld.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26.2 De eerste kwartaalrapportage aan de raad van bestuur</w:t>
      </w:r>
    </w:p>
    <w:p>
      <w:pPr>
        <w:spacing w:after="160"/>
      </w:pPr>
      <w:r>
        <w:rPr>
          <w:rFonts w:ascii="DM Sans" w:cs="DM Sans" w:eastAsia="DM Sans" w:hAnsi="DM Sans"/>
          <w:color w:val="14213D"/>
          <w:sz w:val="22"/>
          <w:szCs w:val="22"/>
        </w:rPr>
        <w:t xml:space="preserve">Een jaar in de Wtp-overgang krijgt Claudette voor het eerst een uitnodiging voor de raad van bestuur zelf, niet voor de stuurgroep waar ze aan gewend is. Ze heeft tien minuten, gevolgd door vijf minuten vragen. De raad bestaat uit vijf mensen, van wie er één een achtergrond in IT heeft en de andere vier niet.</w:t>
      </w:r>
    </w:p>
    <w:p>
      <w:pPr>
        <w:spacing w:after="80" w:before="200"/>
        <w:jc w:val="center"/>
      </w:pPr>
      <w:r>
        <w:drawing>
          <wp:inline distT="0" distB="0" distL="0" distR="0">
            <wp:extent cx="5715000" cy="3810000"/>
            <wp:effectExtent t="0" r="0" b="0" l="0"/>
            <wp:docPr id="1" name="figuur-26-1" descr="FIGUUR 26-1: Claudette's eerste concept-presentatie, 40 slides, naast de tien minuten die ze daadwerkelijk krijgt" title="Figuur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26-1</w:t>
      </w:r>
    </w:p>
    <w:p>
      <w:pPr>
        <w:spacing w:after="160"/>
      </w:pPr>
      <w:r>
        <w:rPr>
          <w:rFonts w:ascii="DM Sans" w:cs="DM Sans" w:eastAsia="DM Sans" w:hAnsi="DM Sans"/>
          <w:color w:val="14213D"/>
          <w:sz w:val="22"/>
          <w:szCs w:val="22"/>
        </w:rPr>
        <w:t xml:space="preserve">Haar eerste concept telt veertig slides — een eerlijke, volledige weergave van de voortgang van vijf werkstromen. Toen ze het aan Bart liet zien ter voorbereiding, was zijn reactie kort: </w:t>
      </w:r>
      <w:r>
        <w:rPr>
          <w:rFonts w:ascii="DM Sans" w:cs="DM Sans" w:eastAsia="DM Sans" w:hAnsi="DM Sans"/>
          <w:i/>
          <w:iCs/>
          <w:color w:val="14213D"/>
          <w:sz w:val="22"/>
          <w:szCs w:val="22"/>
        </w:rPr>
        <w:t xml:space="preserve">"Als je bij slide vijf nog niet klaar bent met de kernboodschap, ben je de raad al kwijt."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26.3 Eén boodschap, drie onderbouwingen</w:t>
      </w:r>
    </w:p>
    <w:p>
      <w:pPr>
        <w:spacing w:after="160"/>
      </w:pPr>
      <w:r>
        <w:rPr>
          <w:rFonts w:ascii="DM Sans" w:cs="DM Sans" w:eastAsia="DM Sans" w:hAnsi="DM Sans"/>
          <w:color w:val="14213D"/>
          <w:sz w:val="22"/>
          <w:szCs w:val="22"/>
        </w:rPr>
        <w:t xml:space="preserve">De eerste competentie herhaalt de omgekeerde piramide uit deel 5 (niveau 1), maar op een schaal en tijdsdruk die niveau 1 en 2 nooit hebben gevergd: een boardpresentatie draagt precies één boodschap, ondersteund door drie onderbouwingen, in tien minuten.</w:t>
      </w:r>
    </w:p>
    <w:p>
      <w:pPr>
        <w:spacing w:after="80" w:before="200"/>
        <w:jc w:val="center"/>
      </w:pPr>
      <w:r>
        <w:drawing>
          <wp:inline distT="0" distB="0" distL="0" distR="0">
            <wp:extent cx="5715000" cy="3810000"/>
            <wp:effectExtent t="0" r="0" b="0" l="0"/>
            <wp:docPr id="1" name="figuur-26-2" descr="FIGUUR 26-2: de structuur van een boardpresentatie — één boodschap bovenaan, drie onderbouwingen eronder, elk met één cijfer" title="Figuur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26-2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boodschap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minuut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zin: waar staat de Wtp-overgang, en wat vraagt dit van de raad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Onderbouwing 1: voortgang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cijfer dat de voortgang samenvat (bijvoorbeeld: percentage deelnemers met herberekende aanspraak)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Onderbouwing 2: 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architectuur-dekkingsgraad (deel 16), toegepast op de Wtp-portefeuille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Onderbouwing 3: wat de raad moet weten of beslissen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concreet besluit of een concrete zorg die om aandacht van de raad vraagt</w:t>
            </w:r>
          </w:p>
        </w:tc>
      </w:tr>
    </w:tbl>
    <w:p>
      <w:pPr>
        <w:spacing w:after="160"/>
      </w:pPr>
    </w:p>
    <w:p>
      <w:pPr>
        <w:spacing w:after="160"/>
      </w:pPr>
      <w:r>
        <w:rPr>
          <w:rFonts w:ascii="DM Sans" w:cs="DM Sans" w:eastAsia="DM Sans" w:hAnsi="DM Sans"/>
          <w:b/>
          <w:bCs/>
          <w:color w:val="14213D"/>
          <w:sz w:val="22"/>
          <w:szCs w:val="22"/>
        </w:rPr>
        <w:t xml:space="preserve">Alles wat niet in deze structuur past, gaat naar een bijlage — dezelfde discipline als deel 5 en deel 10, nu strenger toegepast omdat de tijd nog krapper is.</w:t>
      </w:r>
      <w:r>
        <w:rPr>
          <w:rFonts w:ascii="DM Sans" w:cs="DM Sans" w:eastAsia="DM Sans" w:hAnsi="DM Sans"/>
          <w:color w:val="14213D"/>
          <w:sz w:val="22"/>
          <w:szCs w:val="22"/>
        </w:rPr>
        <w:t xml:space="preserve"> Claudette's veertig slides worden teruggebracht tot vijf kernslides plus een bijlage van vijfendertig slides die ze alleen gebruikt als er specifiek naar wordt gevraagd.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26.4 Risico communiceren zonder techniek</w:t>
      </w:r>
    </w:p>
    <w:p>
      <w:pPr>
        <w:spacing w:after="160"/>
      </w:pPr>
      <w:r>
        <w:rPr>
          <w:rFonts w:ascii="DM Sans" w:cs="DM Sans" w:eastAsia="DM Sans" w:hAnsi="DM Sans"/>
          <w:color w:val="14213D"/>
          <w:sz w:val="22"/>
          <w:szCs w:val="22"/>
        </w:rPr>
        <w:t xml:space="preserve">De tweede competentie behandelt specifiek hoe je architectuurrisico presenteert aan mensen zonder technische achtergrond — een directe opschaling van het kwaliteitsprofiel-keuzemenu uit deel 8.</w:t>
      </w:r>
    </w:p>
    <w:p>
      <w:pPr>
        <w:spacing w:after="80" w:before="200"/>
        <w:jc w:val="center"/>
      </w:pPr>
      <w:r>
        <w:drawing>
          <wp:inline distT="0" distB="0" distL="0" distR="0">
            <wp:extent cx="5715000" cy="3810000"/>
            <wp:effectExtent t="0" r="0" b="0" l="0"/>
            <wp:docPr id="1" name="figuur-26-3" descr="FIGUUR 26-3: de architectuur-dekkingsgraad van deel 16, gepresenteerd als één getal met een duidelijke betekenis, geen technische onderbouwing erbij" title="Figuur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26-3</w:t>
      </w:r>
    </w:p>
    <w:p>
      <w:pPr>
        <w:spacing w:after="160"/>
      </w:pPr>
      <w:r>
        <w:rPr>
          <w:rFonts w:ascii="DM Sans" w:cs="DM Sans" w:eastAsia="DM Sans" w:hAnsi="DM Sans"/>
          <w:b/>
          <w:bCs/>
          <w:color w:val="14213D"/>
          <w:sz w:val="22"/>
          <w:szCs w:val="22"/>
        </w:rPr>
        <w:t xml:space="preserve">De regel: het getal eerst, de betekenis in gewone taal, de techniek pas op verzoek.</w:t>
      </w:r>
      <w:r>
        <w:rPr>
          <w:rFonts w:ascii="DM Sans" w:cs="DM Sans" w:eastAsia="DM Sans" w:hAnsi="DM Sans"/>
          <w:color w:val="14213D"/>
          <w:sz w:val="22"/>
          <w:szCs w:val="22"/>
        </w:rPr>
        <w:t xml:space="preserve"> Claudette presenteert niet "we hebben 23 van de 35 risicopunten gedekt door expliciete besluiten en tests" maar: </w:t>
      </w:r>
      <w:r>
        <w:rPr>
          <w:rFonts w:ascii="DM Sans" w:cs="DM Sans" w:eastAsia="DM Sans" w:hAnsi="DM Sans"/>
          <w:i/>
          <w:iCs/>
          <w:color w:val="14213D"/>
          <w:sz w:val="22"/>
          <w:szCs w:val="22"/>
        </w:rPr>
        <w:t xml:space="preserve">"Van de risico's die deze overgang kan raken, hebben we tweeëndertig procent nog niet expliciet afgedekt. Dat is vergelijkbaar met een dekkingsgraad die onder de streefwaarde ligt — en net als bij een pensioenfonds is dat een signaal om nu bij te sturen, niet een reden tot paniek."</w:t>
      </w:r>
    </w:p>
    <w:p>
      <w:pPr>
        <w:spacing w:after="160"/>
      </w:pPr>
      <w:r>
        <w:rPr>
          <w:rFonts w:ascii="DM Sans" w:cs="DM Sans" w:eastAsia="DM Sans" w:hAnsi="DM Sans"/>
          <w:color w:val="14213D"/>
          <w:sz w:val="22"/>
          <w:szCs w:val="22"/>
        </w:rPr>
        <w:t xml:space="preserve">Deze vertaling werkt bij Meridiaan bijzonder goed, omdat de raad van bestuur al vertrouwd is met de betekenis van een dekkingsgraad in de eigen sector — de analogie uit deel 16 bewijst hier zijn volledige waarde.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26.5 Vragen vanuit terechte zorg, onvoldoende technische kennis</w:t>
      </w:r>
    </w:p>
    <w:p>
      <w:pPr>
        <w:spacing w:after="160"/>
      </w:pPr>
      <w:r>
        <w:rPr>
          <w:rFonts w:ascii="DM Sans" w:cs="DM Sans" w:eastAsia="DM Sans" w:hAnsi="DM Sans"/>
          <w:color w:val="14213D"/>
          <w:sz w:val="22"/>
          <w:szCs w:val="22"/>
        </w:rPr>
        <w:t xml:space="preserve">De derde competentie bereidt voor op het lastigste moment van een boardpresentatie: de vragenronde, waarin bestuursleden vragen stellen die technisch onnauwkeurig geformuleerd zijn maar een reële, terechte zorg uitdrukken.</w:t>
      </w:r>
    </w:p>
    <w:p>
      <w:pPr>
        <w:spacing w:after="80" w:before="200"/>
        <w:jc w:val="center"/>
      </w:pPr>
      <w:r>
        <w:drawing>
          <wp:inline distT="0" distB="0" distL="0" distR="0">
            <wp:extent cx="5715000" cy="3810000"/>
            <wp:effectExtent t="0" r="0" b="0" l="0"/>
            <wp:docPr id="1" name="figuur-26-4" descr="FIGUUR 26-4: een voorbeeldvraag naast de technisch precieze herformulering en het antwoord" title="Figuur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26-4</w:t>
      </w:r>
    </w:p>
    <w:p>
      <w:pPr>
        <w:spacing w:after="160"/>
      </w:pPr>
      <w:r>
        <w:rPr>
          <w:rFonts w:ascii="DM Sans" w:cs="DM Sans" w:eastAsia="DM Sans" w:hAnsi="DM Sans"/>
          <w:b/>
          <w:bCs/>
          <w:color w:val="14213D"/>
          <w:sz w:val="22"/>
          <w:szCs w:val="22"/>
        </w:rPr>
        <w:t xml:space="preserve">Voorbeeldvraag:</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"Kan het niet gewoon fout gaan met de nieuwe berekening, zoals bij Mutatieplatform destijds?"</w:t>
      </w:r>
      <w:r>
        <w:rPr>
          <w:rFonts w:ascii="DM Sans" w:cs="DM Sans" w:eastAsia="DM Sans" w:hAnsi="DM Sans"/>
          <w:color w:val="14213D"/>
          <w:sz w:val="22"/>
          <w:szCs w:val="22"/>
        </w:rPr>
        <w:t xml:space="preserve"> — een verwijzing naar het rekendatumincident uit deel 12, technisch niet helemaal precies (dat was een ander soort fout) maar met een volkomen terechte onderliggende zorg.</w:t>
      </w:r>
    </w:p>
    <w:p>
      <w:pPr>
        <w:spacing w:after="160"/>
      </w:pPr>
      <w:r>
        <w:rPr>
          <w:rFonts w:ascii="DM Sans" w:cs="DM Sans" w:eastAsia="DM Sans" w:hAnsi="DM Sans"/>
          <w:b/>
          <w:bCs/>
          <w:color w:val="14213D"/>
          <w:sz w:val="22"/>
          <w:szCs w:val="22"/>
        </w:rPr>
        <w:t xml:space="preserve">De verkeerde reactie: de technische onnauwkeurigheid corrigeren.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"Dat was eigenlijk een ander type fout"</w:t>
      </w:r>
      <w:r>
        <w:rPr>
          <w:rFonts w:ascii="DM Sans" w:cs="DM Sans" w:eastAsia="DM Sans" w:hAnsi="DM Sans"/>
          <w:color w:val="14213D"/>
          <w:sz w:val="22"/>
          <w:szCs w:val="22"/>
        </w:rPr>
        <w:t xml:space="preserve"> beantwoordt de letterlijke vraag maar niet de zorg, en het bestuurslid voelt zich terecht niet gehoord.</w:t>
      </w:r>
    </w:p>
    <w:p>
      <w:pPr>
        <w:spacing w:after="160"/>
      </w:pPr>
      <w:r>
        <w:rPr>
          <w:rFonts w:ascii="DM Sans" w:cs="DM Sans" w:eastAsia="DM Sans" w:hAnsi="DM Sans"/>
          <w:b/>
          <w:bCs/>
          <w:color w:val="14213D"/>
          <w:sz w:val="22"/>
          <w:szCs w:val="22"/>
        </w:rPr>
        <w:t xml:space="preserve">De juiste reactie: de onderliggende zorg beantwoorden, de technische precisie laten voor wat hij is.</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 zorg is terecht — een verkeerde berekening zou direct impact hebben op deelnemers. Wat we ervan hebben geleerd, is precies waarom we nu een dekkingsgraad bijhouden: zodat we vooraf weten waar het risico nog niet is afgedekt, in plaats van het pas te ontdekken bij een incident."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26.6 De eerste boardpresentatie</w:t>
      </w:r>
    </w:p>
    <w:p>
      <w:pPr>
        <w:spacing w:after="160"/>
      </w:pPr>
      <w:r>
        <w:rPr>
          <w:rFonts w:ascii="DM Sans" w:cs="DM Sans" w:eastAsia="DM Sans" w:hAnsi="DM Sans"/>
          <w:color w:val="14213D"/>
          <w:sz w:val="22"/>
          <w:szCs w:val="22"/>
        </w:rPr>
        <w:t xml:space="preserve">Claudette's herziene presentatie duurt acht minuten, met de dekkingsgraad als kern van de risicoboodschap. De vragenronde bevat drie vragen, waarvan één in de vorm van 26.5. Ze beantwoordt hem met de onderliggende zorg, niet met de technische correctie, en de raad besluit — voor het eerst sinds de start van Wtp — een expliciet budget vrij te maken om de dekkingsgraad binnen twee kwartalen te verhogen.</w:t>
      </w:r>
    </w:p>
    <w:p>
      <w:pPr>
        <w:spacing w:after="160"/>
      </w:pPr>
      <w:r>
        <w:rPr>
          <w:rFonts w:ascii="DM Sans" w:cs="DM Sans" w:eastAsia="DM Sans" w:hAnsi="DM Sans"/>
          <w:color w:val="14213D"/>
          <w:sz w:val="22"/>
          <w:szCs w:val="22"/>
        </w:rPr>
        <w:t xml:space="preserve">Dit is, op het hoogste niveau van de organisatie, dezelfde beweging die Claudette voor het eerst maakte met de programmadirecteur in deel 11: een aanpak niet opleggen, maar in de taal van de ontvanger presenteren zodat die zelf het juiste besluit kan nemen.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Eén boodschap, drie onderbouwingen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structuur van een boardpresentatie: boodschap, voortgang, risico, wat de raad moet weten — elk met één cijfer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getal eerst, de betekenis in gewone taal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 communiceren zonder technische onderbouwing vooraf op te dringen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onderliggende zorg beantwoorden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technisch onnauwkeurige vraag met een terechte zorg vraagt om die zorg te beantwoorden, niet om de vraag te corrigeren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27 — Strategische breedte. Wtp is niet één programma maar meerdere parallelle werkstromen — hoe bewaak je samenhang op portefeuilleniveau?</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ece37a68b4d8709af9f6833fa68eda65253fe9.png"/><Relationship Id="rId10" Type="http://schemas.openxmlformats.org/officeDocument/2006/relationships/image" Target="media/ae8a9192971d4859debafc9e6ae813c81e3c3053.png"/><Relationship Id="rId11" Type="http://schemas.openxmlformats.org/officeDocument/2006/relationships/image" Target="media/dca27b2b435a2448798ed751c8cafc5b2ecc709f.png"/><Relationship Id="rId12" Type="http://schemas.openxmlformats.org/officeDocument/2006/relationships/image" Target="media/93e6e6ca67658fd726c1c4c7b5e53f873e9e9c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2026-08-17T16:44:38.371Z</dcterms:created>
  <dcterms:modified xsi:type="dcterms:W3CDTF">2026-08-17T16:44:38.371Z</dcterms:modified>
</cp:coreProperties>
</file>

<file path=docProps/custom.xml><?xml version="1.0" encoding="utf-8"?>
<Properties xmlns="http://schemas.openxmlformats.org/officeDocument/2006/custom-properties" xmlns:vt="http://schemas.openxmlformats.org/officeDocument/2006/docPropsVTypes"/>
</file>