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30 — Docentenhandleiding</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30 — Het board-dossier en de afsluitende verdediging</w:t>
      </w:r>
    </w:p>
    <w:p>
      <w:pPr>
        <w:spacing w:after="160"/>
      </w:pPr>
      <w:r>
        <w:rPr>
          <w:rFonts w:ascii="DM Sans" w:cs="DM Sans" w:eastAsia="DM Sans" w:hAnsi="DM Sans"/>
          <w:b/>
          <w:bCs/>
          <w:color w:val="14213D"/>
          <w:sz w:val="22"/>
          <w:szCs w:val="22"/>
        </w:rPr>
        <w:t xml:space="preserve">Niveau 3 — Board-gereedheid en praktijkleiderschap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 — en waarom het bijzonder is</w:t>
      </w:r>
    </w:p>
    <w:p>
      <w:pPr>
        <w:spacing w:after="160"/>
      </w:pPr>
      <w:r>
        <w:rPr>
          <w:rFonts w:ascii="DM Sans" w:cs="DM Sans" w:eastAsia="DM Sans" w:hAnsi="DM Sans"/>
          <w:b/>
          <w:bCs/>
          <w:color w:val="14213D"/>
          <w:sz w:val="22"/>
          <w:szCs w:val="22"/>
        </w:rPr>
        <w:t xml:space="preserve">Dit is de laatste sessie van de hele cursus, dertig delen na het begin.</w:t>
      </w:r>
      <w:r>
        <w:rPr>
          <w:rFonts w:ascii="DM Sans" w:cs="DM Sans" w:eastAsia="DM Sans" w:hAnsi="DM Sans"/>
          <w:color w:val="14213D"/>
          <w:sz w:val="22"/>
          <w:szCs w:val="22"/>
        </w:rPr>
        <w:t xml:space="preserve"> Behandel het ook zo: naast de inhoudelijke afsluiting (het board-dossier, het boardinterview) verdient dit deel een moment van erkenning voor wat de deelnemers in de volledige cursus hebben opgebouwd.</w:t>
      </w:r>
    </w:p>
    <w:p>
      <w:pPr>
        <w:spacing w:after="160"/>
      </w:pPr>
      <w:r>
        <w:rPr>
          <w:rFonts w:ascii="DM Sans" w:cs="DM Sans" w:eastAsia="DM Sans" w:hAnsi="DM Sans"/>
          <w:b/>
          <w:bCs/>
          <w:color w:val="14213D"/>
          <w:sz w:val="22"/>
          <w:szCs w:val="22"/>
        </w:rPr>
        <w:t xml:space="preserve">Vorm: een volledige dag, zoals deel 10 en deel 22</w:t>
      </w:r>
      <w:r>
        <w:rPr>
          <w:rFonts w:ascii="DM Sans" w:cs="DM Sans" w:eastAsia="DM Sans" w:hAnsi="DM Sans"/>
          <w:color w:val="14213D"/>
          <w:sz w:val="22"/>
          <w:szCs w:val="22"/>
        </w:rPr>
        <w:t xml:space="preserve">, maar met een ander karakter — minder proefexamen, meer synthese en verdediging. Reken op zes tot zeven uur inclusief pauzes en lunch.</w:t>
      </w:r>
    </w:p>
    <w:p>
      <w:pPr>
        <w:spacing w:after="160"/>
      </w:pPr>
      <w:r>
        <w:rPr>
          <w:rFonts w:ascii="DM Sans" w:cs="DM Sans" w:eastAsia="DM Sans" w:hAnsi="DM Sans"/>
          <w:b/>
          <w:bCs/>
          <w:color w:val="14213D"/>
          <w:sz w:val="22"/>
          <w:szCs w:val="22"/>
        </w:rPr>
        <w:t xml:space="preserve">Voorbereiding vooraf vereist:</w:t>
      </w:r>
      <w:r>
        <w:rPr>
          <w:rFonts w:ascii="DM Sans" w:cs="DM Sans" w:eastAsia="DM Sans" w:hAnsi="DM Sans"/>
          <w:color w:val="14213D"/>
          <w:sz w:val="22"/>
          <w:szCs w:val="22"/>
        </w:rPr>
        <w:t xml:space="preserve"> vraag deelnemers ruim van tevoren (minstens een week) hun materiaal uit de delen 23-29 te verzamelen voor het dossier, en regel drie ervaren rolspelers voor het boardinterview — idealiter mensen die de cursus niet zelf hebben gegeven, zodat de vragen echt onvoorspelbaar aanvoelen.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volledige dag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09:00 – 09:20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uitnodiging; terugblik op de hele cursus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09:20 – 09:40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board-dossier: breedte, niet volledigheid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09:40 – 11:30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Het board-dossier samenstellen</w:t>
            </w:r>
            <w:r>
              <w:rPr>
                <w:rFonts w:ascii="DM Sans" w:cs="DM Sans" w:eastAsia="DM Sans" w:hAnsi="DM Sans"/>
                <w:color w:val="14213D"/>
                <w:sz w:val="22"/>
                <w:szCs w:val="22"/>
              </w:rPr>
              <w:t xml:space="preserve"> (checklist uit werkboek)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11:30 – 11:45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11:45 – 12:15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boardinterview: breedte in plaats van diepte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12:15 – 13:00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Lunch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13:00 – 14:00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Boardinterview-oefenvragen</w:t>
            </w:r>
            <w:r>
              <w:rPr>
                <w:rFonts w:ascii="DM Sans" w:cs="DM Sans" w:eastAsia="DM Sans" w:hAnsi="DM Sans"/>
                <w:color w:val="14213D"/>
                <w:sz w:val="22"/>
                <w:szCs w:val="22"/>
              </w:rPr>
              <w:t xml:space="preserve"> (5 van de 8, individueel)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14:00 – 14:20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oefenvragen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14:20 – 14:35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14:35 – 16:15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Gesimuleerde boardinterviews</w:t>
            </w:r>
            <w:r>
              <w:rPr>
                <w:rFonts w:ascii="DM Sans" w:cs="DM Sans" w:eastAsia="DM Sans" w:hAnsi="DM Sans"/>
                <w:color w:val="14213D"/>
                <w:sz w:val="22"/>
                <w:szCs w:val="22"/>
              </w:rPr>
              <w:t xml:space="preserve"> (circa 20 min per deelnemer, inclusief korte feedback)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 voor rolspelers, rest observeert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16:15 – 16:30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16:30 – 17:00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ene verhaal; gezamenlijke afsluiting van de hele cursus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spacing w:after="160"/>
      </w:pPr>
      <w:r>
        <w:rPr>
          <w:rFonts w:ascii="DM Sans" w:cs="DM Sans" w:eastAsia="DM Sans" w:hAnsi="DM Sans"/>
          <w:b/>
          <w:bCs/>
          <w:color w:val="14213D"/>
          <w:sz w:val="22"/>
          <w:szCs w:val="22"/>
        </w:rPr>
        <w:t xml:space="preserve">Bij een grote groep:</w:t>
      </w:r>
      <w:r>
        <w:rPr>
          <w:rFonts w:ascii="DM Sans" w:cs="DM Sans" w:eastAsia="DM Sans" w:hAnsi="DM Sans"/>
          <w:color w:val="14213D"/>
          <w:sz w:val="22"/>
          <w:szCs w:val="22"/>
        </w:rPr>
        <w:t xml:space="preserve"> net als bij deel 10, overweeg de gesimuleerde boardinterviews over twee dagen te verdelen of met meerdere parallelle boardpanels te werken.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Het board-dossier samenstellen (09:40 – 11:30)</w:t>
      </w:r>
    </w:p>
    <w:p>
      <w:pPr>
        <w:spacing w:after="160"/>
      </w:pPr>
      <w:r>
        <w:rPr>
          <w:rFonts w:ascii="DM Sans" w:cs="DM Sans" w:eastAsia="DM Sans" w:hAnsi="DM Sans"/>
          <w:b/>
          <w:bCs/>
          <w:color w:val="14213D"/>
          <w:sz w:val="22"/>
          <w:szCs w:val="22"/>
        </w:rPr>
        <w:t xml:space="preserve">Laat deelnemers werken vanuit materiaal dat ze al hebben, niet vanuit nul beginnen.</w:t>
      </w:r>
      <w:r>
        <w:rPr>
          <w:rFonts w:ascii="DM Sans" w:cs="DM Sans" w:eastAsia="DM Sans" w:hAnsi="DM Sans"/>
          <w:color w:val="14213D"/>
          <w:sz w:val="22"/>
          <w:szCs w:val="22"/>
        </w:rPr>
        <w:t xml:space="preserve"> Als iemand een sectie mist (bijvoorbeeld geen mentorafspraak uit deel 24 heeft), laat die sectie dan invullen met een realistisch, uitgewerkt voorbeeld in plaats van hem leeg te laten — het gaat om het aantonen van het vermogen, niet om een letterlijke administratie.</w:t>
      </w:r>
    </w:p>
    <w:p>
      <w:pPr>
        <w:pStyle w:val="Heading3"/>
      </w:pPr>
      <w:r>
        <w:rPr>
          <w:rFonts w:ascii="DM Sans" w:cs="DM Sans" w:eastAsia="DM Sans" w:hAnsi="DM Sans"/>
          <w:color w:val="14213D"/>
          <w:sz w:val="22"/>
          <w:szCs w:val="22"/>
        </w:rPr>
        <w:t xml:space="preserve">3.2 De gesimuleerde boardinterviews (14:35 – 16:15) — het hart van de dag</w:t>
      </w:r>
    </w:p>
    <w:p>
      <w:pPr>
        <w:spacing w:after="160"/>
      </w:pPr>
      <w:r>
        <w:rPr>
          <w:rFonts w:ascii="DM Sans" w:cs="DM Sans" w:eastAsia="DM Sans" w:hAnsi="DM Sans"/>
          <w:b/>
          <w:bCs/>
          <w:color w:val="14213D"/>
          <w:sz w:val="22"/>
          <w:szCs w:val="22"/>
        </w:rPr>
        <w:t xml:space="preserve">Rolspelers krijgen vooraf de acht oefenvragen uit het werkboek, plus de instructie om ze te combineren en aan te scherpen met details uit het specifieke dossier van de deelnemer.</w:t>
      </w:r>
      <w:r>
        <w:rPr>
          <w:rFonts w:ascii="DM Sans" w:cs="DM Sans" w:eastAsia="DM Sans" w:hAnsi="DM Sans"/>
          <w:color w:val="14213D"/>
          <w:sz w:val="22"/>
          <w:szCs w:val="22"/>
        </w:rPr>
        <w:t xml:space="preserve"> Het board mag doorvragen, maar moet — net als bij deel 26 — de onderliggende zorg van elke vraag laten prevaleren boven het uitputten van feitenkennis.</w:t>
      </w:r>
    </w:p>
    <w:p>
      <w:pPr>
        <w:spacing w:after="160"/>
      </w:pPr>
      <w:r>
        <w:rPr>
          <w:rFonts w:ascii="DM Sans" w:cs="DM Sans" w:eastAsia="DM Sans" w:hAnsi="DM Sans"/>
          <w:b/>
          <w:bCs/>
          <w:color w:val="14213D"/>
          <w:sz w:val="22"/>
          <w:szCs w:val="22"/>
        </w:rPr>
        <w:t xml:space="preserve">Beoordeel niet op het "juiste" antwoord maar op de reflex om terug te grijpen op een instrument uit de cursus.</w:t>
      </w:r>
      <w:r>
        <w:rPr>
          <w:rFonts w:ascii="DM Sans" w:cs="DM Sans" w:eastAsia="DM Sans" w:hAnsi="DM Sans"/>
          <w:color w:val="14213D"/>
          <w:sz w:val="22"/>
          <w:szCs w:val="22"/>
        </w:rPr>
        <w:t xml:space="preserve"> Een deelnemer die bij een lastige vraag zegt "dat weet ik niet uit mijn hoofd, maar het principe dat ik zou toepassen is..." demonstreert precies de vaardigheid die dit deel wil toetsen.</w:t>
      </w:r>
    </w:p>
    <w:p>
      <w:pPr>
        <w:spacing w:after="160"/>
      </w:pPr>
      <w:r>
        <w:rPr>
          <w:rFonts w:ascii="DM Sans" w:cs="DM Sans" w:eastAsia="DM Sans" w:hAnsi="DM Sans"/>
          <w:b/>
          <w:bCs/>
          <w:color w:val="14213D"/>
          <w:sz w:val="22"/>
          <w:szCs w:val="22"/>
        </w:rPr>
        <w:t xml:space="preserve">Laat de rest van de groep observeren en, net als bij deel 10, voor elke medestudent één ding noteren dat ze zelf willen overnemen.</w:t>
      </w:r>
    </w:p>
    <w:p>
      <w:pPr>
        <w:pStyle w:val="Heading3"/>
      </w:pPr>
      <w:r>
        <w:rPr>
          <w:rFonts w:ascii="DM Sans" w:cs="DM Sans" w:eastAsia="DM Sans" w:hAnsi="DM Sans"/>
          <w:color w:val="14213D"/>
          <w:sz w:val="22"/>
          <w:szCs w:val="22"/>
        </w:rPr>
        <w:t xml:space="preserve">3.3 De afsluiting (16:30 – 17:00)</w:t>
      </w:r>
    </w:p>
    <w:p>
      <w:pPr>
        <w:spacing w:after="160"/>
      </w:pPr>
      <w:r>
        <w:rPr>
          <w:rFonts w:ascii="DM Sans" w:cs="DM Sans" w:eastAsia="DM Sans" w:hAnsi="DM Sans"/>
          <w:b/>
          <w:bCs/>
          <w:color w:val="14213D"/>
          <w:sz w:val="22"/>
          <w:szCs w:val="22"/>
        </w:rPr>
        <w:t xml:space="preserve">Dit is het moment om de hele cursus af te sluiten, niet alleen dit deel.</w:t>
      </w:r>
      <w:r>
        <w:rPr>
          <w:rFonts w:ascii="DM Sans" w:cs="DM Sans" w:eastAsia="DM Sans" w:hAnsi="DM Sans"/>
          <w:color w:val="14213D"/>
          <w:sz w:val="22"/>
          <w:szCs w:val="22"/>
        </w:rPr>
        <w:t xml:space="preserve"> Laat ruimte voor een korte, informele terugblik: wat is het instrument dat elke deelnemer het vaakst in de praktijk heeft gebruikt sinds ze eraan begonnen? Dit hoeft geen formele opdracht te zijn — het is een moment van erkenning na een lang traject.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Compleet board-dossier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 volledig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basis voor de externe CITA-S/P-aanvraag bij Iasa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Notities van het gesimuleerde boardinterview</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persoonlijke referentie</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Board-dossier-checklist en boardinterview-oefenvragen, uitgeprint</w:t>
      </w:r>
    </w:p>
    <w:p>
      <w:pPr>
        <w:pStyle w:val="ListParagraph"/>
        <w:numPr>
          <w:ilvl w:val="0"/>
          <w:numId w:val="2"/>
        </w:numPr>
      </w:pPr>
      <w:r>
        <w:rPr>
          <w:rFonts w:ascii="DM Sans" w:cs="DM Sans" w:eastAsia="DM Sans" w:hAnsi="DM Sans"/>
          <w:color w:val="14213D"/>
          <w:sz w:val="22"/>
          <w:szCs w:val="22"/>
        </w:rPr>
        <w:t xml:space="preserve">Drie ervaren rolspelers voor het boardpanel, tijdig ingepland en voorbereid</w:t>
      </w:r>
    </w:p>
    <w:p>
      <w:pPr>
        <w:pStyle w:val="ListParagraph"/>
        <w:numPr>
          <w:ilvl w:val="0"/>
          <w:numId w:val="2"/>
        </w:numPr>
      </w:pPr>
      <w:r>
        <w:rPr>
          <w:rFonts w:ascii="DM Sans" w:cs="DM Sans" w:eastAsia="DM Sans" w:hAnsi="DM Sans"/>
          <w:color w:val="14213D"/>
          <w:sz w:val="22"/>
          <w:szCs w:val="22"/>
        </w:rPr>
        <w:t xml:space="preserve">Ruimte voor gesimuleerde boardinterviews, gescheiden van de observerende groep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Tot besluit voor de docent</w:t>
      </w:r>
    </w:p>
    <w:p>
      <w:pPr>
        <w:spacing w:after="160"/>
      </w:pPr>
      <w:r>
        <w:rPr>
          <w:rFonts w:ascii="DM Sans" w:cs="DM Sans" w:eastAsia="DM Sans" w:hAnsi="DM Sans"/>
          <w:color w:val="14213D"/>
          <w:sz w:val="22"/>
          <w:szCs w:val="22"/>
        </w:rPr>
        <w:t xml:space="preserve">Met dit deel is de volledige cursus van dertig delen afgerond: niveau 1 (CITA-F, de vijf pijlers), niveau 2 (CITA-A, engagement/waarde/operating model/governance in één specialisatie), en niveau 3 (CITA-S/P, het opbouwen en leiden van een architectuurpraktijk). Bedank de deelnemers voor het doorlopen traject, en herinner eraan dat de daadwerkelijke CITA-certificeringen extern bij Iasa Global worden aangevraagd en beoordeeld — deze cursus heeft hen voorbereid, niet gecertificeerd.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2026-08-17T16:44:38.870Z</dcterms:created>
  <dcterms:modified xsi:type="dcterms:W3CDTF">2026-08-17T16:44:38.870Z</dcterms:modified>
</cp:coreProperties>
</file>

<file path=docProps/custom.xml><?xml version="1.0" encoding="utf-8"?>
<Properties xmlns="http://schemas.openxmlformats.org/officeDocument/2006/custom-properties" xmlns:vt="http://schemas.openxmlformats.org/officeDocument/2006/docPropsVTypes"/>
</file>