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1</w:t>
      </w:r>
    </w:p>
    <w:p>
      <w:pPr>
        <w:spacing w:after="300"/>
      </w:pPr>
      <w:r>
        <w:rPr>
          <w:rFonts w:ascii="Calibri" w:cs="Calibri" w:eastAsia="Calibri" w:hAnsi="Calibri"/>
          <w:b/>
          <w:bCs/>
          <w:color w:val="14213D"/>
          <w:sz w:val="32"/>
          <w:szCs w:val="32"/>
        </w:rPr>
        <w:t xml:space="preserve">Docentenhandleiding — Procesdenken en drie standaarden</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Dit is het openingsdeel. De inhoudelijke lading is bewust laag; de didactische lading is hoog. Wat hier moet landen is één ding: </w:t>
      </w:r>
      <w:r>
        <w:rPr>
          <w:rFonts w:ascii="Calibri" w:cs="Calibri" w:eastAsia="Calibri" w:hAnsi="Calibri"/>
          <w:b/>
          <w:bCs/>
          <w:i w:val="false"/>
          <w:iCs w:val="false"/>
          <w:color w:val="1A1A1A"/>
          <w:sz w:val="21"/>
          <w:szCs w:val="21"/>
        </w:rPr>
        <w:t xml:space="preserve">er zijn drie soorten werk en daarom drie talen.</w:t>
      </w:r>
      <w:r>
        <w:rPr>
          <w:rFonts w:ascii="Calibri" w:cs="Calibri" w:eastAsia="Calibri" w:hAnsi="Calibri"/>
          <w:b w:val="false"/>
          <w:bCs w:val="false"/>
          <w:i w:val="false"/>
          <w:iCs w:val="false"/>
          <w:color w:val="1A1A1A"/>
          <w:sz w:val="21"/>
          <w:szCs w:val="21"/>
        </w:rPr>
        <w:t xml:space="preserve"> Als deelnemers dat na afloop kunnen uitleggen aan een collega, is het deel geslaagd, ook als ze nog geen enkel element kunnen tekenen.</w:t>
      </w:r>
    </w:p>
    <w:p>
      <w:pPr>
        <w:spacing w:after="160" w:line="300"/>
        <w:jc w:val="left"/>
      </w:pPr>
      <w:r>
        <w:rPr>
          <w:rFonts w:ascii="Calibri" w:cs="Calibri" w:eastAsia="Calibri" w:hAnsi="Calibri"/>
          <w:b w:val="false"/>
          <w:bCs w:val="false"/>
          <w:i w:val="false"/>
          <w:iCs w:val="false"/>
          <w:color w:val="1A1A1A"/>
          <w:sz w:val="21"/>
          <w:szCs w:val="21"/>
        </w:rPr>
        <w:t xml:space="preserve">Het grootste risico is dat je hier al gaat modelleren. Doe dat niet. De eerste elementen komen in deel 3. Deelnemers die al BPMN kennen zullen erop aandringen; verwijs naar deel 3 en houd het gesprek bij de keuze tussen de talen.</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Welkom, programma, verwachtingen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Drie soorten werk (§1.1)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voorbeelden uit de zaal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0:35 – 1:00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 en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daarna plenaire bespreking</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1:00 – 1:15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1:15 – 1:40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Scheiding van zorgen (§1.2)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1.2 centraal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1:40 – 2:10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bespreking in tweetallen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2:10 – 2:30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Standaardenlandschap (§1.3)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2:30 – 2:40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Vier gebruiksdoelen (§1.4) — opdracht 4 kort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 invullen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2:40 – 2:50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2:50 – 3:20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Begrippenkader (§1.5) — opdracht 5 en 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3:20 – 3:35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7 stellingen, afsluiting, vooruitblik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Loop je uit, laat dan opdracht 6 vallen en geef die mee als huiswerk. Laat opdracht 3 nooit vallen — dat is de kern van het dagdeel.</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Classificeer het werk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Antwoord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Toelichting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Routine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Vaste stappen, hoog volume, volledig automatiseerbaar.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Dossier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Onderzoek met onbekende uitkomst; welke stappen nodig zijn blijkt gaandeweg.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Oordeel</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Datum in, ja/nee uit. Geen volgorde.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Routine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Batch met vaste stappen. Let op: de inhoud van de UPO bevat oordeelswerk.</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Dossier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Meerdere partijen, juridische complexiteit, volgorde per geval anders.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Oordeel</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Klassieke beslistabel: sector en omvang in, percentage uit.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Gemengd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verwerking is routine, maar terugwerkende kracht triggert beoordeling — dossier met een routinekern.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8</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Dossier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Externe partij, onvoorspelbaar verloop, doorlooptijd niet stuurbaar.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9</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Oordeel</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Risicoafweging op basis van kenmerken; de afhandeling daarna is routine of dossier.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Routine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Batch, vaste volgorde.</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Nummer 7 en 9 zijn de leerzame. Deelnemers die overal één label opplakken missen dat de meeste werksituaties gelaagd zijn. De vraag om te stellen: </w:t>
      </w:r>
      <w:r>
        <w:rPr>
          <w:rFonts w:ascii="Calibri" w:cs="Calibri" w:eastAsia="Calibri" w:hAnsi="Calibri"/>
          <w:b w:val="false"/>
          <w:bCs w:val="false"/>
          <w:i/>
          <w:iCs/>
          <w:color w:val="1A1A1A"/>
          <w:sz w:val="21"/>
          <w:szCs w:val="21"/>
        </w:rPr>
        <w:t xml:space="preserve">op welk niveau kijk je?</w:t>
      </w:r>
      <w:r>
        <w:rPr>
          <w:rFonts w:ascii="Calibri" w:cs="Calibri" w:eastAsia="Calibri" w:hAnsi="Calibri"/>
          <w:b w:val="false"/>
          <w:bCs w:val="false"/>
          <w:i w:val="false"/>
          <w:iCs w:val="false"/>
          <w:color w:val="1A1A1A"/>
          <w:sz w:val="21"/>
          <w:szCs w:val="21"/>
        </w:rPr>
        <w:t xml:space="preserve"> Op afdelingsniveau is nummer 7 dossierwerk, op stapniveau is de verwerking routine.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Kies de notatie</w:t>
      </w:r>
    </w:p>
    <w:p>
      <w:pPr>
        <w:spacing w:after="160" w:line="300"/>
        <w:jc w:val="left"/>
      </w:pPr>
      <w:r>
        <w:rPr>
          <w:rFonts w:ascii="Calibri" w:cs="Calibri" w:eastAsia="Calibri" w:hAnsi="Calibri"/>
          <w:b w:val="false"/>
          <w:bCs w:val="false"/>
          <w:i w:val="false"/>
          <w:iCs w:val="false"/>
          <w:color w:val="1A1A1A"/>
          <w:sz w:val="21"/>
          <w:szCs w:val="21"/>
        </w:rPr>
        <w:t xml:space="preserve">Verwacht: 1, 4, 10 → BPMN. 3, 6, 9 → DMN. 2, 5, 8 → CMMN. 7 → CMMN met een BPMN-subproces, of BPMN met een uitzonderingspad naar een case.</w:t>
      </w:r>
    </w:p>
    <w:p>
      <w:pPr>
        <w:spacing w:after="160" w:line="300"/>
        <w:jc w:val="left"/>
      </w:pPr>
      <w:r>
        <w:rPr>
          <w:rFonts w:ascii="Calibri" w:cs="Calibri" w:eastAsia="Calibri" w:hAnsi="Calibri"/>
          <w:b w:val="false"/>
          <w:bCs w:val="false"/>
          <w:i w:val="false"/>
          <w:iCs w:val="false"/>
          <w:color w:val="1A1A1A"/>
          <w:sz w:val="21"/>
          <w:szCs w:val="21"/>
        </w:rPr>
        <w:t xml:space="preserve">Goede vuistregels die deelnemers formuleren: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"Kan ik de volgorde opschrijven zonder 'het hangt ervan af'? Dan BPMN."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er een dossier dat blijft bestaan terwijl er dingen mee gebeuren? Dan CMMN."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"Zit er geen tijd in — alleen invoer en uitkomst? Dan DMN."</w:t>
      </w:r>
    </w:p>
    <w:p>
      <w:pPr>
        <w:spacing w:after="160" w:line="300"/>
        <w:jc w:val="left"/>
      </w:pPr>
      <w:r>
        <w:rPr>
          <w:rFonts w:ascii="Calibri" w:cs="Calibri" w:eastAsia="Calibri" w:hAnsi="Calibri"/>
          <w:b w:val="false"/>
          <w:bCs w:val="false"/>
          <w:i w:val="false"/>
          <w:iCs w:val="false"/>
          <w:color w:val="1A1A1A"/>
          <w:sz w:val="21"/>
          <w:szCs w:val="21"/>
        </w:rPr>
        <w:t xml:space="preserve">Wees hier niet streng op het juiste antwoord. De redenering telt. Wat je wél corrigeert: het antwoord "BPMN, want dat kennen we". Dat is precies de reflex die deze cursus moet afleren.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Zoek de vermenging</w:t>
      </w:r>
    </w:p>
    <w:p>
      <w:pPr>
        <w:spacing w:after="160" w:line="300"/>
        <w:jc w:val="left"/>
      </w:pPr>
      <w:r>
        <w:rPr>
          <w:rFonts w:ascii="Calibri" w:cs="Calibri" w:eastAsia="Calibri" w:hAnsi="Calibri"/>
          <w:b/>
          <w:bCs/>
          <w:i w:val="false"/>
          <w:iCs w:val="false"/>
          <w:color w:val="1A1A1A"/>
          <w:sz w:val="21"/>
          <w:szCs w:val="21"/>
        </w:rPr>
        <w:t xml:space="preserve">Volgorde (BPMN):</w:t>
      </w:r>
      <w:r>
        <w:rPr>
          <w:rFonts w:ascii="Calibri" w:cs="Calibri" w:eastAsia="Calibri" w:hAnsi="Calibri"/>
          <w:b w:val="false"/>
          <w:bCs w:val="false"/>
          <w:i w:val="false"/>
          <w:iCs w:val="false"/>
          <w:color w:val="1A1A1A"/>
          <w:sz w:val="21"/>
          <w:szCs w:val="21"/>
        </w:rPr>
        <w:t xml:space="preserve"> aanvraag openen, volledigheidscontrole, verzoek om aanvulling versturen, 14 dagen wachten, doorgeleiden naar berekening, standaardbrief AF-03 versturen, deelnemer per brief informeren.</w:t>
      </w:r>
    </w:p>
    <w:p>
      <w:pPr>
        <w:spacing w:after="160" w:line="300"/>
        <w:jc w:val="left"/>
      </w:pPr>
      <w:r>
        <w:rPr>
          <w:rFonts w:ascii="Calibri" w:cs="Calibri" w:eastAsia="Calibri" w:hAnsi="Calibri"/>
          <w:b/>
          <w:bCs/>
          <w:i w:val="false"/>
          <w:iCs w:val="false"/>
          <w:color w:val="1A1A1A"/>
          <w:sz w:val="21"/>
          <w:szCs w:val="21"/>
        </w:rPr>
        <w:t xml:space="preserve">Regel (DMN):</w:t>
      </w:r>
      <w:r>
        <w:rPr>
          <w:rFonts w:ascii="Calibri" w:cs="Calibri" w:eastAsia="Calibri" w:hAnsi="Calibri"/>
          <w:b w:val="false"/>
          <w:bCs w:val="false"/>
          <w:i w:val="false"/>
          <w:iCs w:val="false"/>
          <w:color w:val="1A1A1A"/>
          <w:sz w:val="21"/>
          <w:szCs w:val="21"/>
        </w:rPr>
        <w:t xml:space="preserve"> de drie criteria samen — actief dienstverband op aanvraagdatum, overdrachtswaarde boven afkoopgrens, dekkingsgraad beide fondsen boven 100% — met drie uitkomsten: goedkeuren, aanhouden, afwijzen. Dit is één beslissing met drie inputs, geen drie losse checks. Dat is het inzicht dat je hier wilt.</w:t>
      </w:r>
    </w:p>
    <w:p>
      <w:pPr>
        <w:spacing w:after="160" w:line="300"/>
        <w:jc w:val="left"/>
      </w:pPr>
      <w:r>
        <w:rPr>
          <w:rFonts w:ascii="Calibri" w:cs="Calibri" w:eastAsia="Calibri" w:hAnsi="Calibri"/>
          <w:b/>
          <w:bCs/>
          <w:i w:val="false"/>
          <w:iCs w:val="false"/>
          <w:color w:val="1A1A1A"/>
          <w:sz w:val="21"/>
          <w:szCs w:val="21"/>
        </w:rPr>
        <w:t xml:space="preserve">Behandelaarsruimte (CMMN):</w:t>
      </w:r>
      <w:r>
        <w:rPr>
          <w:rFonts w:ascii="Calibri" w:cs="Calibri" w:eastAsia="Calibri" w:hAnsi="Calibri"/>
          <w:b w:val="false"/>
          <w:bCs w:val="false"/>
          <w:i w:val="false"/>
          <w:iCs w:val="false"/>
          <w:color w:val="1A1A1A"/>
          <w:sz w:val="21"/>
          <w:szCs w:val="21"/>
        </w:rPr>
        <w:t xml:space="preserve"> de laatste zin. "Neemt contact op met de werkgever en beoordeelt op basis van de reactie" met de expliciete vermelding dat het tot maatwerk kan leiden — dat is niet in een pad te vangen.</w:t>
      </w:r>
    </w:p>
    <w:p>
      <w:pPr>
        <w:spacing w:after="160" w:line="300"/>
        <w:jc w:val="left"/>
      </w:pPr>
      <w:r>
        <w:rPr>
          <w:rFonts w:ascii="Calibri" w:cs="Calibri" w:eastAsia="Calibri" w:hAnsi="Calibri"/>
          <w:b/>
          <w:bCs/>
          <w:i w:val="false"/>
          <w:iCs w:val="false"/>
          <w:color w:val="1A1A1A"/>
          <w:sz w:val="21"/>
          <w:szCs w:val="21"/>
        </w:rPr>
        <w:t xml:space="preserve">Aantal modellen: drie.</w:t>
      </w:r>
      <w:r>
        <w:rPr>
          <w:rFonts w:ascii="Calibri" w:cs="Calibri" w:eastAsia="Calibri" w:hAnsi="Calibri"/>
          <w:b w:val="false"/>
          <w:bCs w:val="false"/>
          <w:i w:val="false"/>
          <w:iCs w:val="false"/>
          <w:color w:val="1A1A1A"/>
          <w:sz w:val="21"/>
          <w:szCs w:val="21"/>
        </w:rPr>
        <w:t xml:space="preserve"> Een BPMN-proces voor de hoofdstroom, een DMN-beslissing voor de beoordeling, en een CMMN-case voor het twijfeltraject. Minder kan, maar dan verlies je iets: gaat de beslissing in gateways, dan is een wijziging van de afkoopgrens een procesrelease. Gaat het twijfeltraject in BPMN, dan modelleer je paden die de behandelaar toch niet volgt.</w:t>
      </w:r>
    </w:p>
    <w:p>
      <w:pPr>
        <w:spacing w:after="160" w:line="300"/>
        <w:jc w:val="left"/>
      </w:pPr>
      <w:r>
        <w:rPr>
          <w:rFonts w:ascii="Calibri" w:cs="Calibri" w:eastAsia="Calibri" w:hAnsi="Calibri"/>
          <w:b/>
          <w:bCs/>
          <w:i w:val="false"/>
          <w:iCs w:val="false"/>
          <w:color w:val="1A1A1A"/>
          <w:sz w:val="21"/>
          <w:szCs w:val="21"/>
        </w:rPr>
        <w:t xml:space="preserve">Veelgemaakte fout.</w:t>
      </w:r>
      <w:r>
        <w:rPr>
          <w:rFonts w:ascii="Calibri" w:cs="Calibri" w:eastAsia="Calibri" w:hAnsi="Calibri"/>
          <w:b w:val="false"/>
          <w:bCs w:val="false"/>
          <w:i w:val="false"/>
          <w:iCs w:val="false"/>
          <w:color w:val="1A1A1A"/>
          <w:sz w:val="21"/>
          <w:szCs w:val="21"/>
        </w:rPr>
        <w:t xml:space="preserve"> De 14 dagen wachten wordt vaak aangemerkt als regel. Het is volgorde — een timer in het proces. Regel zou zijn: </w:t>
      </w:r>
      <w:r>
        <w:rPr>
          <w:rFonts w:ascii="Calibri" w:cs="Calibri" w:eastAsia="Calibri" w:hAnsi="Calibri"/>
          <w:b w:val="false"/>
          <w:bCs w:val="false"/>
          <w:i/>
          <w:iCs/>
          <w:color w:val="1A1A1A"/>
          <w:sz w:val="21"/>
          <w:szCs w:val="21"/>
        </w:rPr>
        <w:t xml:space="preserve">bepaal de aanvultermijn op grond van het type aanvraag.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Vier doelen</w:t>
      </w:r>
    </w:p>
    <w:p>
      <w:pPr>
        <w:spacing w:after="160" w:line="300"/>
        <w:jc w:val="left"/>
      </w:pPr>
      <w:r>
        <w:rPr>
          <w:rFonts w:ascii="Calibri" w:cs="Calibri" w:eastAsia="Calibri" w:hAnsi="Calibri"/>
          <w:b w:val="false"/>
          <w:bCs w:val="false"/>
          <w:i w:val="false"/>
          <w:iCs w:val="false"/>
          <w:color w:val="1A1A1A"/>
          <w:sz w:val="21"/>
          <w:szCs w:val="21"/>
        </w:rPr>
        <w:t xml:space="preserve">Modelantwoorden in trefwoorden: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Communiceren:</w:t>
      </w:r>
      <w:r>
        <w:rPr>
          <w:rFonts w:ascii="Calibri" w:cs="Calibri" w:eastAsia="Calibri" w:hAnsi="Calibri"/>
          <w:b w:val="false"/>
          <w:bCs w:val="false"/>
          <w:i w:val="false"/>
          <w:iCs w:val="false"/>
          <w:color w:val="1A1A1A"/>
          <w:sz w:val="21"/>
          <w:szCs w:val="21"/>
        </w:rPr>
        <w:t xml:space="preserve"> vijf tot zeven stappen, één pool, geen uitzonderingen, geen systeemnamen. Weglaten: alle foutpaden, alle systeemkoppelingen.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Analyseren:</w:t>
      </w:r>
      <w:r>
        <w:rPr>
          <w:rFonts w:ascii="Calibri" w:cs="Calibri" w:eastAsia="Calibri" w:hAnsi="Calibri"/>
          <w:b w:val="false"/>
          <w:bCs w:val="false"/>
          <w:i w:val="false"/>
          <w:iCs w:val="false"/>
          <w:color w:val="1A1A1A"/>
          <w:sz w:val="21"/>
          <w:szCs w:val="21"/>
        </w:rPr>
        <w:t xml:space="preserve"> alle varianten inclusief uitval en herbewerking, meetpunten bij overdrachten, volumes en doorlooptijden per pad. Weglaten: technische implementatiedetails.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Specificeren:</w:t>
      </w:r>
      <w:r>
        <w:rPr>
          <w:rFonts w:ascii="Calibri" w:cs="Calibri" w:eastAsia="Calibri" w:hAnsi="Calibri"/>
          <w:b w:val="false"/>
          <w:bCs w:val="false"/>
          <w:i w:val="false"/>
          <w:iCs w:val="false"/>
          <w:color w:val="1A1A1A"/>
          <w:sz w:val="21"/>
          <w:szCs w:val="21"/>
        </w:rPr>
        <w:t xml:space="preserve"> eenduidige activiteitbeschrijvingen, in- en uitvoer per stap, rollen en autorisatie, alle uitzonderingen. Weglaten: expressies en connectorconfiguratie.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Uitvoeren:</w:t>
      </w:r>
      <w:r>
        <w:rPr>
          <w:rFonts w:ascii="Calibri" w:cs="Calibri" w:eastAsia="Calibri" w:hAnsi="Calibri"/>
          <w:b w:val="false"/>
          <w:bCs w:val="false"/>
          <w:i w:val="false"/>
          <w:iCs w:val="false"/>
          <w:color w:val="1A1A1A"/>
          <w:sz w:val="21"/>
          <w:szCs w:val="21"/>
        </w:rPr>
        <w:t xml:space="preserve"> expressies, service task-configuratie, formulieren, timers, foutafhandeling, correlatie. Weglaten: niets — maar leesbaarheid voor de business is opgegeven.</w:t>
      </w:r>
    </w:p>
    <w:p>
      <w:pPr>
        <w:spacing w:after="160" w:line="300"/>
        <w:jc w:val="left"/>
      </w:pPr>
      <w:r>
        <w:rPr>
          <w:rFonts w:ascii="Calibri" w:cs="Calibri" w:eastAsia="Calibri" w:hAnsi="Calibri"/>
          <w:b/>
          <w:bCs/>
          <w:i w:val="false"/>
          <w:iCs w:val="false"/>
          <w:color w:val="1A1A1A"/>
          <w:sz w:val="21"/>
          <w:szCs w:val="21"/>
        </w:rPr>
        <w:t xml:space="preserve">De gevaarlijkste verwarring:</w:t>
      </w:r>
      <w:r>
        <w:rPr>
          <w:rFonts w:ascii="Calibri" w:cs="Calibri" w:eastAsia="Calibri" w:hAnsi="Calibri"/>
          <w:b w:val="false"/>
          <w:bCs w:val="false"/>
          <w:i w:val="false"/>
          <w:iCs w:val="false"/>
          <w:color w:val="1A1A1A"/>
          <w:sz w:val="21"/>
          <w:szCs w:val="21"/>
        </w:rPr>
        <w:t xml:space="preserve"> communicatiemodel gebruiken als specificatie. Dat is de klassieke oorzaak van "dat stond niet in het proces" halverwege een bouwtraject. Het omgekeerde — een uitvoeringsmodel aan de directie tonen — is pijnlijk maar niet schadelijk.</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Begrippen die schuiven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Voorbeelden: iemand met onbetaald verlof valt onder A maar niet onder B. Iemand die uit dienst is maar over de laatste maand nog premie afgedragen krijgt, valt onder B maar niet onder A. Iemand met een premievrije aanspraak valt niet onder C maar mogelijk wel onder A bij een andere werkgever.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Verdedigbaar is B of D, afhankelijk van wat de UPO wettelijk moet weergeven. Het punt is niet welke definitie wint, maar dat de keuze expliciet en herleidbaar is. Met A krijg je deelnemers zonder premiegegevens in de run; met C krijg je een andere populatie dan de wetgever bedoelt.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Wijzigt de definitie, dan wijzigt de scope van het proces zonder dat het procesmodel wijzigt. Dat is precies waarom de definitie in het begrippenkader of het gegevenswoordenboek hoort en niet in het procesmodel — en waarom het procesmodel ernaar verwijst in plaats van het te herhalen.</w:t>
      </w:r>
    </w:p>
    <w:p>
      <w:pPr>
        <w:spacing w:after="160" w:line="300"/>
        <w:jc w:val="left"/>
      </w:pPr>
      <w:r>
        <w:rPr>
          <w:rFonts w:ascii="Calibri" w:cs="Calibri" w:eastAsia="Calibri" w:hAnsi="Calibri"/>
          <w:b/>
          <w:bCs/>
          <w:i w:val="false"/>
          <w:iCs w:val="false"/>
          <w:color w:val="1A1A1A"/>
          <w:sz w:val="21"/>
          <w:szCs w:val="21"/>
        </w:rPr>
        <w:t xml:space="preserve">Verbinding met de datacursus.</w:t>
      </w:r>
      <w:r>
        <w:rPr>
          <w:rFonts w:ascii="Calibri" w:cs="Calibri" w:eastAsia="Calibri" w:hAnsi="Calibri"/>
          <w:b w:val="false"/>
          <w:bCs w:val="false"/>
          <w:i w:val="false"/>
          <w:iCs w:val="false"/>
          <w:color w:val="1A1A1A"/>
          <w:sz w:val="21"/>
          <w:szCs w:val="21"/>
        </w:rPr>
        <w:t xml:space="preserve"> Deelnemers die dat programma volgden herkennen dit als het bekende vier-definities-probleem bij Meridiaan. Benoem dat expliciet: hetzelfde probleem, andere discipline, dezelfde oplossingsrichting.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Begrippenkader</w:t>
      </w:r>
    </w:p>
    <w:p>
      <w:pPr>
        <w:spacing w:after="160" w:line="300"/>
        <w:jc w:val="left"/>
      </w:pPr>
      <w:r>
        <w:rPr>
          <w:rFonts w:ascii="Calibri" w:cs="Calibri" w:eastAsia="Calibri" w:hAnsi="Calibri"/>
          <w:b w:val="false"/>
          <w:bCs w:val="false"/>
          <w:i w:val="false"/>
          <w:iCs w:val="false"/>
          <w:color w:val="1A1A1A"/>
          <w:sz w:val="21"/>
          <w:szCs w:val="21"/>
        </w:rPr>
        <w:t xml:space="preserve">Geen modelantwoord. Beoordeel op: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Zijn de definities toetsbaar, of zijn het omschrijvingen die de vraag openlaten? ("Een mutatie is een wijziging" is geen definitie.)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Staat er een bron, of is alles "nog te bepalen"? Meer dan de helft leeg is een signaal — bespreek dat als bevinding, niet als fout.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Zijn alternatieve benamingen ingevuld? Dat is de kolom die in de praktijk het meest oplevert.</w:t>
      </w:r>
    </w:p>
    <w:p>
      <w:pPr>
        <w:spacing w:after="160" w:line="300"/>
        <w:jc w:val="left"/>
      </w:pPr>
      <w:r>
        <w:rPr>
          <w:rFonts w:ascii="Calibri" w:cs="Calibri" w:eastAsia="Calibri" w:hAnsi="Calibri"/>
          <w:b w:val="false"/>
          <w:bCs w:val="false"/>
          <w:i w:val="false"/>
          <w:iCs w:val="false"/>
          <w:color w:val="1A1A1A"/>
          <w:sz w:val="21"/>
          <w:szCs w:val="21"/>
        </w:rPr>
        <w:t xml:space="preserve">Goede oogst uit de zaal: begrippen waarover binnen het tweetal onenigheid ontstond. Laat die expliciet noemen.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Stellingen</w:t>
      </w:r>
    </w:p>
    <w:p>
      <w:pPr>
        <w:spacing w:after="160" w:line="300"/>
        <w:jc w:val="left"/>
      </w:pPr>
      <w:r>
        <w:rPr>
          <w:rFonts w:ascii="Calibri" w:cs="Calibri" w:eastAsia="Calibri" w:hAnsi="Calibri"/>
          <w:b w:val="false"/>
          <w:bCs w:val="false"/>
          <w:i w:val="false"/>
          <w:iCs w:val="false"/>
          <w:color w:val="1A1A1A"/>
          <w:sz w:val="21"/>
          <w:szCs w:val="21"/>
        </w:rPr>
        <w:t xml:space="preserve">Kernargumenten om binnen te halen: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Vóór:</w:t>
      </w:r>
      <w:r>
        <w:rPr>
          <w:rFonts w:ascii="Calibri" w:cs="Calibri" w:eastAsia="Calibri" w:hAnsi="Calibri"/>
          <w:b w:val="false"/>
          <w:bCs w:val="false"/>
          <w:i w:val="false"/>
          <w:iCs w:val="false"/>
          <w:color w:val="1A1A1A"/>
          <w:sz w:val="21"/>
          <w:szCs w:val="21"/>
        </w:rPr>
        <w:t xml:space="preserve"> leesbaarheid en tooling-ondersteuning. </w:t>
      </w:r>
      <w:r>
        <w:rPr>
          <w:rFonts w:ascii="Calibri" w:cs="Calibri" w:eastAsia="Calibri" w:hAnsi="Calibri"/>
          <w:b w:val="false"/>
          <w:bCs w:val="false"/>
          <w:i/>
          <w:iCs/>
          <w:color w:val="1A1A1A"/>
          <w:sz w:val="21"/>
          <w:szCs w:val="21"/>
        </w:rPr>
        <w:t xml:space="preserve">Tegen:</w:t>
      </w:r>
      <w:r>
        <w:rPr>
          <w:rFonts w:ascii="Calibri" w:cs="Calibri" w:eastAsia="Calibri" w:hAnsi="Calibri"/>
          <w:b w:val="false"/>
          <w:bCs w:val="false"/>
          <w:i w:val="false"/>
          <w:iCs w:val="false"/>
          <w:color w:val="1A1A1A"/>
          <w:sz w:val="21"/>
          <w:szCs w:val="21"/>
        </w:rPr>
        <w:t xml:space="preserve"> je legt een volgorde op die er niet is, het model verliest zijn gezag bij de behandelaars, en je bouwt paden die niemand loopt. Deze stelling is bewust prikkelend — de eerlijke uitkomst is dat BPMN vaak wint om pragmatische redenen en dat je dan moet weten wat je opgeeft.</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Vóór:</w:t>
      </w:r>
      <w:r>
        <w:rPr>
          <w:rFonts w:ascii="Calibri" w:cs="Calibri" w:eastAsia="Calibri" w:hAnsi="Calibri"/>
          <w:b w:val="false"/>
          <w:bCs w:val="false"/>
          <w:i w:val="false"/>
          <w:iCs w:val="false"/>
          <w:color w:val="1A1A1A"/>
          <w:sz w:val="21"/>
          <w:szCs w:val="21"/>
        </w:rPr>
        <w:t xml:space="preserve"> as-is documenteren kan maanden kosten voor een proces dat verdwijnt. </w:t>
      </w:r>
      <w:r>
        <w:rPr>
          <w:rFonts w:ascii="Calibri" w:cs="Calibri" w:eastAsia="Calibri" w:hAnsi="Calibri"/>
          <w:b w:val="false"/>
          <w:bCs w:val="false"/>
          <w:i/>
          <w:iCs/>
          <w:color w:val="1A1A1A"/>
          <w:sz w:val="21"/>
          <w:szCs w:val="21"/>
        </w:rPr>
        <w:t xml:space="preserve">Tegen:</w:t>
      </w:r>
      <w:r>
        <w:rPr>
          <w:rFonts w:ascii="Calibri" w:cs="Calibri" w:eastAsia="Calibri" w:hAnsi="Calibri"/>
          <w:b w:val="false"/>
          <w:bCs w:val="false"/>
          <w:i w:val="false"/>
          <w:iCs w:val="false"/>
          <w:color w:val="1A1A1A"/>
          <w:sz w:val="21"/>
          <w:szCs w:val="21"/>
        </w:rPr>
        <w:t xml:space="preserve"> zonder as-is heb je geen nulmeting, geen migratiepad en geen zicht op de uitzonderingen die de business kent en jij niet.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Voer het gesprek over "eenduidig" versus "uitvoerbaar". Een papieren specificatie kan eenduidig zijn. Uitvoerbaarheid is een sterkere test, geen noodzakelijke eis.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Dit is de valstrik. Consequent gebruik lost niets op zodra twee afdelingen getallen vergelijken of één rapportage uit twee bronnen komt.</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Te vroeg tekenen.</w:t>
      </w:r>
      <w:r>
        <w:rPr>
          <w:rFonts w:ascii="Calibri" w:cs="Calibri" w:eastAsia="Calibri" w:hAnsi="Calibri"/>
          <w:b w:val="false"/>
          <w:bCs w:val="false"/>
          <w:i w:val="false"/>
          <w:iCs w:val="false"/>
          <w:color w:val="1A1A1A"/>
          <w:sz w:val="21"/>
          <w:szCs w:val="21"/>
        </w:rPr>
        <w:t xml:space="preserve"> Zie boven.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"Wij doen alles al in BPMN en dat gaat prima."</w:t>
      </w:r>
      <w:r>
        <w:rPr>
          <w:rFonts w:ascii="Calibri" w:cs="Calibri" w:eastAsia="Calibri" w:hAnsi="Calibri"/>
          <w:b w:val="false"/>
          <w:bCs w:val="false"/>
          <w:i w:val="false"/>
          <w:iCs w:val="false"/>
          <w:color w:val="1A1A1A"/>
          <w:sz w:val="21"/>
          <w:szCs w:val="21"/>
        </w:rPr>
        <w:t xml:space="preserve"> Vraag door naar het proces met de meeste uitzonderingen. Meestal komt daar een model uit met twintig gateways dat niemand onderhoudt.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CMMN afdoen als onvolwassen.</w:t>
      </w:r>
      <w:r>
        <w:rPr>
          <w:rFonts w:ascii="Calibri" w:cs="Calibri" w:eastAsia="Calibri" w:hAnsi="Calibri"/>
          <w:b w:val="false"/>
          <w:bCs w:val="false"/>
          <w:i w:val="false"/>
          <w:iCs w:val="false"/>
          <w:color w:val="1A1A1A"/>
          <w:sz w:val="21"/>
          <w:szCs w:val="21"/>
        </w:rPr>
        <w:t xml:space="preserve"> Ondersteuning is beperkt, de denkwijze niet. Scheid die twee expliciet, anders haken deelnemers hier al af op de taal die in niveau 2 het meest oplevert.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Begrippenkader wegzetten als bureaucratie.</w:t>
      </w:r>
      <w:r>
        <w:rPr>
          <w:rFonts w:ascii="Calibri" w:cs="Calibri" w:eastAsia="Calibri" w:hAnsi="Calibri"/>
          <w:b w:val="false"/>
          <w:bCs w:val="false"/>
          <w:i w:val="false"/>
          <w:iCs w:val="false"/>
          <w:color w:val="1A1A1A"/>
          <w:sz w:val="21"/>
          <w:szCs w:val="21"/>
        </w:rPr>
        <w:t xml:space="preserve"> Opdracht 5 is het tegengif; sla die niet over als je krap zit.</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Classificatie van werk</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Labelt alles als proces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Herkent de drie soorten in eenduidige gevallen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Herkent gelaagdheid in gemengde gevallen en benoemt het niveau</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Notatiekeuze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Kiest op gewoonte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Kiest passend, argumenteert kort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Argumenteert vanuit de aard van het werk en benoemt wat de keuze kost</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Scheiding van logica</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Ziet de vermenging niet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Onderscheidt volgorde en regel</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Onderscheidt alle drie en onderbouwt het aantal modellen</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Begrippen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Definities zijn omschrijvingen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Toetsbare definities, bron deels ingevuld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Toetsbare definities, bronnen, alternatieve benamingen, openstaande punten benoemd</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Markeerstiften in drie kleuren voor opdracht 3 (of een digitaal equivalent), werkboek per deelnemer, uitgeprinte werkinstructie WI-114 op A4 met ruime marge. Voor opdracht 6: gedeeld document of flip-over per tweetal.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2026-08-17T15:44:15.133Z</dcterms:created>
  <dcterms:modified xsi:type="dcterms:W3CDTF">2026-08-17T15:44:15.134Z</dcterms:modified>
</cp:coreProperties>
</file>

<file path=docProps/custom.xml><?xml version="1.0" encoding="utf-8"?>
<Properties xmlns="http://schemas.openxmlformats.org/officeDocument/2006/custom-properties" xmlns:vt="http://schemas.openxmlformats.org/officeDocument/2006/docPropsVTypes"/>
</file>